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275B011D"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B41E92">
        <w:rPr>
          <w:b/>
          <w:noProof/>
          <w:sz w:val="24"/>
          <w:szCs w:val="24"/>
          <w:lang w:val="en-US"/>
        </w:rPr>
        <w:t>3 Meeting #1</w:t>
      </w:r>
      <w:r w:rsidR="00F53B31">
        <w:rPr>
          <w:b/>
          <w:noProof/>
          <w:sz w:val="24"/>
          <w:szCs w:val="24"/>
          <w:lang w:val="en-US"/>
        </w:rPr>
        <w:t>31</w:t>
      </w:r>
      <w:r w:rsidRPr="00264B7E">
        <w:rPr>
          <w:b/>
          <w:i/>
          <w:noProof/>
          <w:sz w:val="24"/>
          <w:szCs w:val="24"/>
          <w:lang w:val="en-US"/>
        </w:rPr>
        <w:tab/>
      </w:r>
      <w:r w:rsidR="00413EDD">
        <w:rPr>
          <w:b/>
          <w:noProof/>
          <w:sz w:val="24"/>
          <w:szCs w:val="24"/>
          <w:lang w:val="en-US"/>
        </w:rPr>
        <w:t>R3</w:t>
      </w:r>
      <w:r w:rsidR="00702913" w:rsidRPr="00264B7E">
        <w:rPr>
          <w:b/>
          <w:noProof/>
          <w:sz w:val="24"/>
          <w:szCs w:val="24"/>
          <w:lang w:val="en-US"/>
        </w:rPr>
        <w:t>-</w:t>
      </w:r>
      <w:r w:rsidR="00B826D1" w:rsidRPr="00B826D1">
        <w:rPr>
          <w:b/>
          <w:noProof/>
          <w:sz w:val="24"/>
          <w:szCs w:val="24"/>
          <w:lang w:val="en-US"/>
        </w:rPr>
        <w:t>260062</w:t>
      </w:r>
    </w:p>
    <w:p w14:paraId="1CD5986C" w14:textId="4430ADD0" w:rsidR="00CF1EAE" w:rsidRPr="00264B7E" w:rsidRDefault="00F53B31" w:rsidP="00CF1EAE">
      <w:pPr>
        <w:pStyle w:val="3GPPHeader"/>
        <w:rPr>
          <w:noProof/>
          <w:szCs w:val="24"/>
          <w:lang w:eastAsia="ko-KR"/>
        </w:rPr>
      </w:pPr>
      <w:r>
        <w:rPr>
          <w:noProof/>
          <w:szCs w:val="24"/>
          <w:lang w:eastAsia="ko-KR"/>
        </w:rPr>
        <w:t>Gothenburg</w:t>
      </w:r>
      <w:r w:rsidR="00CA3921">
        <w:rPr>
          <w:noProof/>
          <w:szCs w:val="24"/>
          <w:lang w:eastAsia="ko-KR"/>
        </w:rPr>
        <w:t xml:space="preserve">, </w:t>
      </w:r>
      <w:r>
        <w:rPr>
          <w:noProof/>
          <w:szCs w:val="24"/>
          <w:lang w:eastAsia="ko-KR"/>
        </w:rPr>
        <w:t>Sweden</w:t>
      </w:r>
      <w:r w:rsidR="00702913" w:rsidRPr="00264B7E">
        <w:rPr>
          <w:noProof/>
          <w:szCs w:val="24"/>
          <w:lang w:eastAsia="ko-KR"/>
        </w:rPr>
        <w:t xml:space="preserve">, </w:t>
      </w:r>
      <w:r>
        <w:rPr>
          <w:noProof/>
          <w:szCs w:val="24"/>
          <w:lang w:eastAsia="ko-KR"/>
        </w:rPr>
        <w:t>Feb</w:t>
      </w:r>
      <w:r w:rsidR="00666120">
        <w:rPr>
          <w:noProof/>
          <w:szCs w:val="24"/>
          <w:lang w:eastAsia="ko-KR"/>
        </w:rPr>
        <w:t xml:space="preserve"> </w:t>
      </w:r>
      <w:r>
        <w:rPr>
          <w:noProof/>
          <w:szCs w:val="24"/>
          <w:lang w:eastAsia="ko-KR"/>
        </w:rPr>
        <w:t>09</w:t>
      </w:r>
      <w:r w:rsidR="00666120">
        <w:rPr>
          <w:noProof/>
          <w:szCs w:val="24"/>
          <w:lang w:eastAsia="ko-KR"/>
        </w:rPr>
        <w:t>-</w:t>
      </w:r>
      <w:r>
        <w:rPr>
          <w:noProof/>
          <w:szCs w:val="24"/>
          <w:lang w:eastAsia="ko-KR"/>
        </w:rPr>
        <w:t>13</w:t>
      </w:r>
      <w:r w:rsidR="00B826D1">
        <w:rPr>
          <w:noProof/>
          <w:szCs w:val="24"/>
          <w:lang w:eastAsia="ko-KR"/>
        </w:rPr>
        <w:t>th</w:t>
      </w:r>
      <w:r w:rsidR="002A79E7">
        <w:rPr>
          <w:noProof/>
          <w:szCs w:val="24"/>
          <w:lang w:eastAsia="ko-KR"/>
        </w:rPr>
        <w:t>, 202</w:t>
      </w:r>
      <w:r>
        <w:rPr>
          <w:noProof/>
          <w:szCs w:val="24"/>
          <w:lang w:eastAsia="ko-KR"/>
        </w:rPr>
        <w:t>6</w:t>
      </w:r>
      <w:r w:rsidR="00647E3F">
        <w:rPr>
          <w:noProof/>
          <w:szCs w:val="24"/>
          <w:lang w:eastAsia="ko-KR"/>
        </w:rPr>
        <w:t xml:space="preserve"> </w:t>
      </w:r>
      <w:r w:rsidR="00647E3F">
        <w:rPr>
          <w:noProof/>
          <w:szCs w:val="24"/>
          <w:lang w:eastAsia="ko-KR"/>
        </w:rPr>
        <w:tab/>
      </w:r>
    </w:p>
    <w:p w14:paraId="252563D4" w14:textId="77777777" w:rsidR="00E90E49" w:rsidRPr="00264B7E" w:rsidRDefault="00E90E49" w:rsidP="009E5A29">
      <w:pPr>
        <w:pStyle w:val="Titre1"/>
        <w:ind w:left="0" w:firstLine="0"/>
      </w:pPr>
    </w:p>
    <w:p w14:paraId="267378A2" w14:textId="2D0FAFD5"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CB257D">
        <w:rPr>
          <w:sz w:val="22"/>
          <w:szCs w:val="22"/>
        </w:rPr>
        <w:t>10</w:t>
      </w:r>
      <w:r w:rsidR="00C03613">
        <w:rPr>
          <w:sz w:val="22"/>
          <w:szCs w:val="22"/>
        </w:rPr>
        <w:t>.2.1</w:t>
      </w:r>
    </w:p>
    <w:p w14:paraId="36E7B6AB" w14:textId="212030A3" w:rsidR="00E90E49" w:rsidRPr="003E1B3C" w:rsidRDefault="003E1B3C" w:rsidP="00F64C2B">
      <w:pPr>
        <w:pStyle w:val="3GPPHeader"/>
        <w:rPr>
          <w:sz w:val="22"/>
          <w:szCs w:val="22"/>
          <w:lang w:val="fr-FR"/>
        </w:rPr>
      </w:pPr>
      <w:r w:rsidRPr="003E1B3C">
        <w:rPr>
          <w:sz w:val="22"/>
          <w:szCs w:val="22"/>
          <w:lang w:val="fr-FR"/>
        </w:rPr>
        <w:t>Source :</w:t>
      </w:r>
      <w:r w:rsidR="00E90E49" w:rsidRPr="003E1B3C">
        <w:rPr>
          <w:sz w:val="22"/>
          <w:szCs w:val="22"/>
          <w:lang w:val="fr-FR"/>
        </w:rPr>
        <w:tab/>
      </w:r>
      <w:r w:rsidR="00B55E00" w:rsidRPr="003E1B3C">
        <w:rPr>
          <w:sz w:val="22"/>
          <w:szCs w:val="22"/>
          <w:lang w:val="fr-FR"/>
        </w:rPr>
        <w:t>THALES</w:t>
      </w:r>
      <w:r w:rsidR="005E718F" w:rsidRPr="00265F97">
        <w:rPr>
          <w:sz w:val="22"/>
          <w:szCs w:val="22"/>
          <w:lang w:val="fr-FR"/>
        </w:rPr>
        <w:t xml:space="preserve">, ESA, Airbus, </w:t>
      </w:r>
      <w:proofErr w:type="spellStart"/>
      <w:r w:rsidR="005E718F" w:rsidRPr="00265F97">
        <w:rPr>
          <w:sz w:val="22"/>
          <w:szCs w:val="22"/>
          <w:lang w:val="fr-FR"/>
        </w:rPr>
        <w:t>Novamint</w:t>
      </w:r>
      <w:proofErr w:type="spellEnd"/>
      <w:r w:rsidR="005E718F" w:rsidRPr="00265F97">
        <w:rPr>
          <w:sz w:val="22"/>
          <w:szCs w:val="22"/>
          <w:lang w:val="fr-FR"/>
        </w:rPr>
        <w:t xml:space="preserve">, </w:t>
      </w:r>
      <w:r w:rsidR="005E718F">
        <w:rPr>
          <w:sz w:val="22"/>
          <w:szCs w:val="22"/>
          <w:lang w:val="fr-FR"/>
        </w:rPr>
        <w:t>Iridium</w:t>
      </w:r>
    </w:p>
    <w:p w14:paraId="72579376" w14:textId="3E0253D6"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ED7B41">
        <w:rPr>
          <w:sz w:val="22"/>
          <w:szCs w:val="22"/>
        </w:rPr>
        <w:t>6G RAN</w:t>
      </w:r>
      <w:bookmarkStart w:id="1" w:name="_GoBack"/>
      <w:bookmarkEnd w:id="1"/>
      <w:r w:rsidR="00ED7B41">
        <w:rPr>
          <w:sz w:val="22"/>
          <w:szCs w:val="22"/>
        </w:rPr>
        <w:t xml:space="preserve"> overall architecture </w:t>
      </w:r>
      <w:r w:rsidR="003A2B53">
        <w:rPr>
          <w:sz w:val="22"/>
          <w:szCs w:val="22"/>
        </w:rPr>
        <w:t xml:space="preserve">for </w:t>
      </w:r>
      <w:r w:rsidR="00ED7B41">
        <w:rPr>
          <w:sz w:val="22"/>
          <w:szCs w:val="22"/>
        </w:rPr>
        <w:t>NTN</w:t>
      </w:r>
    </w:p>
    <w:p w14:paraId="1DD4A9BC" w14:textId="0F3FCBB2" w:rsidR="00E90E49" w:rsidRPr="002D3257" w:rsidRDefault="00E90E49" w:rsidP="002D3257">
      <w:pPr>
        <w:pStyle w:val="3GPPHeader"/>
        <w:rPr>
          <w:sz w:val="22"/>
          <w:szCs w:val="22"/>
        </w:rPr>
      </w:pPr>
      <w:r w:rsidRPr="00D93C73">
        <w:rPr>
          <w:sz w:val="22"/>
          <w:szCs w:val="22"/>
        </w:rPr>
        <w:t xml:space="preserve">Document </w:t>
      </w:r>
      <w:r w:rsidR="00176A6F" w:rsidRPr="00D93C73">
        <w:rPr>
          <w:sz w:val="22"/>
          <w:szCs w:val="22"/>
        </w:rPr>
        <w:t>for:</w:t>
      </w:r>
      <w:r w:rsidRPr="0092177C">
        <w:rPr>
          <w:sz w:val="22"/>
          <w:szCs w:val="22"/>
        </w:rPr>
        <w:tab/>
      </w:r>
      <w:r w:rsidR="00792F91" w:rsidRPr="0092177C">
        <w:rPr>
          <w:sz w:val="22"/>
          <w:szCs w:val="22"/>
        </w:rPr>
        <w:t>Discussion</w:t>
      </w:r>
    </w:p>
    <w:p w14:paraId="7E327658" w14:textId="731668B1" w:rsidR="0031300A" w:rsidRPr="0092177C" w:rsidRDefault="00230D18" w:rsidP="0031300A">
      <w:pPr>
        <w:pStyle w:val="Titre1"/>
        <w:rPr>
          <w:lang w:val="en-US"/>
        </w:rPr>
      </w:pPr>
      <w:r w:rsidRPr="0092177C">
        <w:rPr>
          <w:lang w:val="en-US"/>
        </w:rPr>
        <w:t>1</w:t>
      </w:r>
      <w:r w:rsidRPr="0092177C">
        <w:rPr>
          <w:lang w:val="en-US"/>
        </w:rPr>
        <w:tab/>
      </w:r>
      <w:r w:rsidR="00E90E49" w:rsidRPr="0092177C">
        <w:rPr>
          <w:lang w:val="en-US"/>
        </w:rPr>
        <w:t>Introduction</w:t>
      </w:r>
      <w:bookmarkStart w:id="2" w:name="_Ref178064866"/>
    </w:p>
    <w:p w14:paraId="106E793B" w14:textId="12550DDF" w:rsidR="00332BE2" w:rsidRPr="00170713" w:rsidRDefault="00332BE2" w:rsidP="00666120">
      <w:pPr>
        <w:pStyle w:val="Corpsdetexte"/>
      </w:pPr>
      <w:r w:rsidRPr="00170713">
        <w:t>The 6G Radio Study Item was approved at the RAN#108 meeting</w:t>
      </w:r>
      <w:r w:rsidR="0092177C" w:rsidRPr="00170713">
        <w:t xml:space="preserve"> [1] and updated at RAN#109 [2</w:t>
      </w:r>
      <w:r w:rsidRPr="00170713">
        <w:t>]</w:t>
      </w:r>
      <w:r w:rsidR="005203F2" w:rsidRPr="00170713">
        <w:t xml:space="preserve"> and states for </w:t>
      </w:r>
      <w:r w:rsidR="00170713" w:rsidRPr="00170713">
        <w:t>a</w:t>
      </w:r>
      <w:r w:rsidR="005203F2" w:rsidRPr="00170713">
        <w:t xml:space="preserve"> harmonized radio interface between TN and NTN:</w:t>
      </w:r>
    </w:p>
    <w:tbl>
      <w:tblPr>
        <w:tblStyle w:val="Grilledutableau"/>
        <w:tblW w:w="0" w:type="auto"/>
        <w:tblLook w:val="04A0" w:firstRow="1" w:lastRow="0" w:firstColumn="1" w:lastColumn="0" w:noHBand="0" w:noVBand="1"/>
      </w:tblPr>
      <w:tblGrid>
        <w:gridCol w:w="9629"/>
      </w:tblGrid>
      <w:tr w:rsidR="005203F2" w:rsidRPr="00170713" w14:paraId="0000FD11" w14:textId="77777777" w:rsidTr="005203F2">
        <w:tc>
          <w:tcPr>
            <w:tcW w:w="9629" w:type="dxa"/>
          </w:tcPr>
          <w:p w14:paraId="2F2D72AE" w14:textId="77777777" w:rsidR="005203F2" w:rsidRPr="00170713" w:rsidRDefault="005203F2" w:rsidP="005203F2">
            <w:pPr>
              <w:pStyle w:val="Corpsdetexte"/>
              <w:rPr>
                <w:sz w:val="20"/>
                <w:szCs w:val="20"/>
              </w:rPr>
            </w:pPr>
            <w:r w:rsidRPr="00170713">
              <w:rPr>
                <w:sz w:val="20"/>
                <w:szCs w:val="20"/>
              </w:rPr>
              <w:t>(1)</w:t>
            </w:r>
            <w:r w:rsidRPr="00170713">
              <w:rPr>
                <w:sz w:val="20"/>
                <w:szCs w:val="20"/>
              </w:rPr>
              <w:tab/>
              <w:t>S</w:t>
            </w:r>
            <w:r w:rsidRPr="00170713">
              <w:rPr>
                <w:sz w:val="20"/>
                <w:szCs w:val="20"/>
                <w:highlight w:val="yellow"/>
              </w:rPr>
              <w:t>ingle technology framework based on a stand-alone architecture</w:t>
            </w:r>
            <w:r w:rsidRPr="00170713">
              <w:rPr>
                <w:sz w:val="20"/>
                <w:szCs w:val="20"/>
              </w:rPr>
              <w:t xml:space="preserv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D9552A0" w14:textId="77777777" w:rsidR="005203F2" w:rsidRPr="00170713" w:rsidRDefault="005203F2" w:rsidP="005203F2">
            <w:pPr>
              <w:pStyle w:val="Corpsdetexte"/>
              <w:rPr>
                <w:sz w:val="20"/>
                <w:szCs w:val="20"/>
              </w:rPr>
            </w:pPr>
            <w:r w:rsidRPr="00170713">
              <w:rPr>
                <w:sz w:val="20"/>
                <w:szCs w:val="20"/>
              </w:rPr>
              <w:t>a)</w:t>
            </w:r>
            <w:r w:rsidRPr="00170713">
              <w:rPr>
                <w:sz w:val="20"/>
                <w:szCs w:val="20"/>
              </w:rPr>
              <w:tab/>
              <w:t>Ensuring appropriate set of functionalities, minimize the adoption of multiple options for the same functionality, avoid excessive configurations, excessive UE capabilities and UE capabilities reporting.</w:t>
            </w:r>
          </w:p>
          <w:p w14:paraId="648FC706" w14:textId="77777777" w:rsidR="005203F2" w:rsidRPr="00170713" w:rsidRDefault="005203F2" w:rsidP="005203F2">
            <w:pPr>
              <w:pStyle w:val="Corpsdetexte"/>
              <w:rPr>
                <w:sz w:val="20"/>
                <w:szCs w:val="20"/>
              </w:rPr>
            </w:pPr>
            <w:r w:rsidRPr="00170713">
              <w:rPr>
                <w:sz w:val="20"/>
                <w:szCs w:val="20"/>
              </w:rPr>
              <w:t>b)</w:t>
            </w:r>
            <w:r w:rsidRPr="00170713">
              <w:rPr>
                <w:sz w:val="20"/>
                <w:szCs w:val="20"/>
              </w:rPr>
              <w:tab/>
              <w:t>Energy efficiency and energy saving: both for network and device.</w:t>
            </w:r>
          </w:p>
          <w:p w14:paraId="7AD3179A" w14:textId="77777777" w:rsidR="005203F2" w:rsidRPr="00170713" w:rsidRDefault="005203F2" w:rsidP="005203F2">
            <w:pPr>
              <w:pStyle w:val="Corpsdetexte"/>
              <w:rPr>
                <w:sz w:val="20"/>
                <w:szCs w:val="20"/>
              </w:rPr>
            </w:pPr>
            <w:r w:rsidRPr="00170713">
              <w:rPr>
                <w:sz w:val="20"/>
                <w:szCs w:val="20"/>
              </w:rPr>
              <w:t>c)</w:t>
            </w:r>
            <w:r w:rsidRPr="00170713">
              <w:rPr>
                <w:sz w:val="20"/>
                <w:szCs w:val="20"/>
              </w:rPr>
              <w:tab/>
              <w:t xml:space="preserve">Enhanced spectral efficiency. </w:t>
            </w:r>
          </w:p>
          <w:p w14:paraId="0F3D7AC4" w14:textId="77777777" w:rsidR="005203F2" w:rsidRPr="00170713" w:rsidRDefault="005203F2" w:rsidP="005203F2">
            <w:pPr>
              <w:pStyle w:val="Corpsdetexte"/>
              <w:rPr>
                <w:sz w:val="20"/>
                <w:szCs w:val="20"/>
              </w:rPr>
            </w:pPr>
            <w:r w:rsidRPr="00170713">
              <w:rPr>
                <w:sz w:val="20"/>
                <w:szCs w:val="20"/>
              </w:rPr>
              <w:t>d)</w:t>
            </w:r>
            <w:r w:rsidRPr="00170713">
              <w:rPr>
                <w:sz w:val="20"/>
                <w:szCs w:val="20"/>
              </w:rPr>
              <w:tab/>
              <w:t>Enhanced overall coverage, focus on cell-edge performance and UL coverage.</w:t>
            </w:r>
          </w:p>
          <w:p w14:paraId="449B6295" w14:textId="77777777" w:rsidR="005203F2" w:rsidRPr="00170713" w:rsidRDefault="005203F2" w:rsidP="005203F2">
            <w:pPr>
              <w:pStyle w:val="Corpsdetexte"/>
              <w:rPr>
                <w:sz w:val="20"/>
                <w:szCs w:val="20"/>
              </w:rPr>
            </w:pPr>
            <w:r w:rsidRPr="00170713">
              <w:rPr>
                <w:sz w:val="20"/>
                <w:szCs w:val="20"/>
              </w:rPr>
              <w:t>e)</w:t>
            </w:r>
            <w:r w:rsidRPr="00170713">
              <w:rPr>
                <w:sz w:val="20"/>
                <w:szCs w:val="20"/>
              </w:rPr>
              <w:tab/>
              <w:t>Wider channel bandwidth (at least 200MHz) support for 6G deployments at least above 2 GHz, around 7 GHz.</w:t>
            </w:r>
          </w:p>
          <w:p w14:paraId="1821BC82" w14:textId="77777777" w:rsidR="005203F2" w:rsidRPr="00170713" w:rsidRDefault="005203F2" w:rsidP="005203F2">
            <w:pPr>
              <w:pStyle w:val="Corpsdetexte"/>
              <w:rPr>
                <w:sz w:val="20"/>
                <w:szCs w:val="20"/>
              </w:rPr>
            </w:pPr>
            <w:r w:rsidRPr="00170713">
              <w:rPr>
                <w:sz w:val="20"/>
                <w:szCs w:val="20"/>
              </w:rPr>
              <w:t>f)</w:t>
            </w:r>
            <w:r w:rsidRPr="00170713">
              <w:rPr>
                <w:sz w:val="20"/>
                <w:szCs w:val="20"/>
              </w:rPr>
              <w:tab/>
              <w:t>Re-use of existing 5G mid-band (~3.5GHz) site grid for 6G deployments in at least around 7 GHz and targeting comparable coverage to 5G mid-band.</w:t>
            </w:r>
          </w:p>
          <w:p w14:paraId="61497A8D" w14:textId="77777777" w:rsidR="005203F2" w:rsidRPr="00170713" w:rsidRDefault="005203F2" w:rsidP="005203F2">
            <w:pPr>
              <w:pStyle w:val="Corpsdetexte"/>
              <w:rPr>
                <w:sz w:val="20"/>
                <w:szCs w:val="20"/>
              </w:rPr>
            </w:pPr>
            <w:r w:rsidRPr="00170713">
              <w:rPr>
                <w:sz w:val="20"/>
                <w:szCs w:val="20"/>
              </w:rPr>
              <w:t>g)</w:t>
            </w:r>
            <w:r w:rsidRPr="00170713">
              <w:rPr>
                <w:sz w:val="20"/>
                <w:szCs w:val="20"/>
              </w:rPr>
              <w:tab/>
              <w:t>Target scalable and forward compatible design for diverse device types.</w:t>
            </w:r>
          </w:p>
          <w:p w14:paraId="5AEF5D52" w14:textId="77777777" w:rsidR="005203F2" w:rsidRPr="00170713" w:rsidRDefault="005203F2" w:rsidP="005203F2">
            <w:pPr>
              <w:pStyle w:val="Corpsdetexte"/>
              <w:rPr>
                <w:sz w:val="20"/>
                <w:szCs w:val="20"/>
              </w:rPr>
            </w:pPr>
            <w:r w:rsidRPr="00170713">
              <w:rPr>
                <w:sz w:val="20"/>
                <w:szCs w:val="20"/>
              </w:rPr>
              <w:t>h)</w:t>
            </w:r>
            <w:r w:rsidRPr="00170713">
              <w:rPr>
                <w:sz w:val="20"/>
                <w:szCs w:val="20"/>
              </w:rPr>
              <w:tab/>
              <w:t>Improved spectrum utilization and operations taking into account diverse spectrum allocations.</w:t>
            </w:r>
          </w:p>
          <w:p w14:paraId="2BDBF46C" w14:textId="77777777" w:rsidR="005203F2" w:rsidRPr="00170713" w:rsidRDefault="005203F2" w:rsidP="005203F2">
            <w:pPr>
              <w:pStyle w:val="Corpsdetexte"/>
              <w:rPr>
                <w:sz w:val="20"/>
                <w:szCs w:val="20"/>
              </w:rPr>
            </w:pPr>
            <w:proofErr w:type="spellStart"/>
            <w:r w:rsidRPr="00170713">
              <w:rPr>
                <w:sz w:val="20"/>
                <w:szCs w:val="20"/>
              </w:rPr>
              <w:t>i</w:t>
            </w:r>
            <w:proofErr w:type="spellEnd"/>
            <w:r w:rsidRPr="00170713">
              <w:rPr>
                <w:sz w:val="20"/>
                <w:szCs w:val="20"/>
              </w:rPr>
              <w:t>)</w:t>
            </w:r>
            <w:r w:rsidRPr="00170713">
              <w:rPr>
                <w:sz w:val="20"/>
                <w:szCs w:val="20"/>
              </w:rPr>
              <w:tab/>
              <w:t>Aim at using common 6G Radio design, which meets mobile broadband service requirements as high priority, to also meet vertical needs.</w:t>
            </w:r>
          </w:p>
          <w:p w14:paraId="303CA0B6" w14:textId="77777777" w:rsidR="005203F2" w:rsidRPr="00170713" w:rsidRDefault="005203F2" w:rsidP="005203F2">
            <w:pPr>
              <w:pStyle w:val="Corpsdetexte"/>
              <w:rPr>
                <w:sz w:val="20"/>
                <w:szCs w:val="20"/>
              </w:rPr>
            </w:pPr>
            <w:r w:rsidRPr="00170713">
              <w:rPr>
                <w:sz w:val="20"/>
                <w:szCs w:val="20"/>
              </w:rPr>
              <w:t>j)</w:t>
            </w:r>
            <w:r w:rsidRPr="00170713">
              <w:rPr>
                <w:sz w:val="20"/>
                <w:szCs w:val="20"/>
              </w:rPr>
              <w:tab/>
            </w:r>
            <w:r w:rsidRPr="00170713">
              <w:rPr>
                <w:sz w:val="20"/>
                <w:szCs w:val="20"/>
                <w:highlight w:val="yellow"/>
              </w:rPr>
              <w:t>Aim at a harmonized 6G Radio design for TN and NTN, including their integratio</w:t>
            </w:r>
            <w:r w:rsidRPr="00170713">
              <w:rPr>
                <w:sz w:val="20"/>
                <w:szCs w:val="20"/>
              </w:rPr>
              <w:t>n.</w:t>
            </w:r>
          </w:p>
          <w:p w14:paraId="623AACB8" w14:textId="20EE38EA" w:rsidR="005203F2" w:rsidRPr="00170713" w:rsidRDefault="005203F2" w:rsidP="005203F2">
            <w:pPr>
              <w:pStyle w:val="Corpsdetexte"/>
              <w:rPr>
                <w:sz w:val="20"/>
                <w:szCs w:val="20"/>
              </w:rPr>
            </w:pPr>
            <w:r w:rsidRPr="00170713">
              <w:rPr>
                <w:sz w:val="20"/>
                <w:szCs w:val="20"/>
              </w:rPr>
              <w:t>k)</w:t>
            </w:r>
            <w:r w:rsidRPr="00170713">
              <w:rPr>
                <w:sz w:val="20"/>
                <w:szCs w:val="20"/>
              </w:rPr>
              <w:tab/>
              <w:t>System simplification, including reducing configuration complexity, enabling more efficient Cell/UE management, etc.</w:t>
            </w:r>
          </w:p>
        </w:tc>
      </w:tr>
    </w:tbl>
    <w:p w14:paraId="48227AEF" w14:textId="21312419" w:rsidR="005203F2" w:rsidRDefault="005203F2" w:rsidP="00666120">
      <w:pPr>
        <w:pStyle w:val="Corpsdetexte"/>
      </w:pPr>
    </w:p>
    <w:p w14:paraId="43E07BDF" w14:textId="2A1920AA" w:rsidR="00C773AD" w:rsidRPr="00C773AD" w:rsidRDefault="00C773AD" w:rsidP="00C773AD">
      <w:pPr>
        <w:rPr>
          <w:lang w:eastAsia="zh-CN"/>
        </w:rPr>
      </w:pPr>
      <w:r w:rsidRPr="00C773AD">
        <w:rPr>
          <w:lang w:eastAsia="zh-CN"/>
        </w:rPr>
        <w:t xml:space="preserve">The NTN deployment scenarios were added on RAN#110 under clause 4.10 of </w:t>
      </w:r>
      <w:r>
        <w:rPr>
          <w:lang w:eastAsia="zh-CN"/>
        </w:rPr>
        <w:t xml:space="preserve">the </w:t>
      </w:r>
      <w:r>
        <w:t>3GPP TR 38.914, “</w:t>
      </w:r>
      <w:r w:rsidRPr="00666120">
        <w:t>Study on 6G Scenarios and requirements</w:t>
      </w:r>
      <w:r>
        <w:t>”, and we agreed on RAN3#130 on the following [4]</w:t>
      </w:r>
    </w:p>
    <w:tbl>
      <w:tblPr>
        <w:tblStyle w:val="Grilledutableau"/>
        <w:tblW w:w="0" w:type="auto"/>
        <w:tblLook w:val="04A0" w:firstRow="1" w:lastRow="0" w:firstColumn="1" w:lastColumn="0" w:noHBand="0" w:noVBand="1"/>
      </w:tblPr>
      <w:tblGrid>
        <w:gridCol w:w="9629"/>
      </w:tblGrid>
      <w:tr w:rsidR="00C773AD" w14:paraId="39A26F6F" w14:textId="77777777" w:rsidTr="00C773AD">
        <w:tc>
          <w:tcPr>
            <w:tcW w:w="9629" w:type="dxa"/>
          </w:tcPr>
          <w:p w14:paraId="699447B6" w14:textId="77777777" w:rsidR="00C773AD" w:rsidRPr="00C773AD" w:rsidRDefault="00C773AD" w:rsidP="00C773AD">
            <w:pPr>
              <w:rPr>
                <w:rFonts w:eastAsia="Times New Roman"/>
                <w:sz w:val="20"/>
                <w:szCs w:val="20"/>
                <w:lang w:eastAsia="zh-CN"/>
              </w:rPr>
            </w:pPr>
            <w:r w:rsidRPr="00C773AD">
              <w:rPr>
                <w:rFonts w:eastAsia="Times New Roman"/>
                <w:sz w:val="20"/>
                <w:szCs w:val="20"/>
                <w:lang w:eastAsia="zh-CN"/>
              </w:rPr>
              <w:t>The 6G RAN architecture shall strive to support the deployment scenarios defined in TR 38.914.</w:t>
            </w:r>
          </w:p>
          <w:p w14:paraId="788FF97D" w14:textId="77777777" w:rsidR="00C773AD" w:rsidRPr="00C773AD" w:rsidRDefault="00C773AD" w:rsidP="00C773AD">
            <w:pPr>
              <w:pStyle w:val="B1"/>
              <w:rPr>
                <w:rFonts w:ascii="Arial" w:eastAsia="Times New Roman" w:hAnsi="Arial"/>
                <w:sz w:val="20"/>
                <w:szCs w:val="20"/>
              </w:rPr>
            </w:pPr>
            <w:r w:rsidRPr="00C773AD">
              <w:rPr>
                <w:rFonts w:ascii="Arial" w:eastAsia="Times New Roman" w:hAnsi="Arial"/>
                <w:sz w:val="20"/>
                <w:szCs w:val="20"/>
              </w:rPr>
              <w:t>-</w:t>
            </w:r>
            <w:r w:rsidRPr="00C773AD">
              <w:rPr>
                <w:rFonts w:ascii="Arial" w:eastAsia="Times New Roman" w:hAnsi="Arial"/>
                <w:sz w:val="20"/>
                <w:szCs w:val="20"/>
              </w:rPr>
              <w:tab/>
              <w:t>FFS on the implications of this requirement on 6G RAN architecture.</w:t>
            </w:r>
          </w:p>
          <w:p w14:paraId="4A58542F" w14:textId="66722706" w:rsidR="00C773AD" w:rsidRPr="00C773AD" w:rsidRDefault="00C773AD" w:rsidP="00C773AD">
            <w:pPr>
              <w:pStyle w:val="B1"/>
            </w:pPr>
            <w:r w:rsidRPr="00C773AD">
              <w:rPr>
                <w:rFonts w:ascii="Arial" w:eastAsia="Times New Roman" w:hAnsi="Arial"/>
                <w:sz w:val="20"/>
                <w:szCs w:val="20"/>
              </w:rPr>
              <w:t>-</w:t>
            </w:r>
            <w:r w:rsidRPr="00C773AD">
              <w:rPr>
                <w:rFonts w:ascii="Arial" w:eastAsia="Times New Roman" w:hAnsi="Arial"/>
                <w:sz w:val="20"/>
                <w:szCs w:val="20"/>
              </w:rPr>
              <w:tab/>
              <w:t>FFS whether all deployment scenarios of TR 38.914 can be supported.</w:t>
            </w:r>
          </w:p>
        </w:tc>
      </w:tr>
    </w:tbl>
    <w:p w14:paraId="4C49C850" w14:textId="77777777" w:rsidR="00C773AD" w:rsidRDefault="00C773AD" w:rsidP="00C773AD">
      <w:pPr>
        <w:rPr>
          <w:i/>
          <w:iCs/>
          <w:color w:val="FF0000"/>
        </w:rPr>
      </w:pPr>
    </w:p>
    <w:p w14:paraId="078E92AF" w14:textId="77777777" w:rsidR="00C773AD" w:rsidRDefault="00C773AD" w:rsidP="00666120">
      <w:pPr>
        <w:pStyle w:val="Corpsdetexte"/>
      </w:pPr>
    </w:p>
    <w:p w14:paraId="4D2C38DE" w14:textId="207B48D3" w:rsidR="00666120" w:rsidRPr="009539A1" w:rsidRDefault="00CD3321" w:rsidP="00666120">
      <w:pPr>
        <w:pStyle w:val="Corpsdetexte"/>
      </w:pPr>
      <w:r>
        <w:lastRenderedPageBreak/>
        <w:t xml:space="preserve">In this document we will discuss how to achieve a harmonized 6G radio access architecture, the </w:t>
      </w:r>
      <w:r w:rsidR="007D2362">
        <w:t>different</w:t>
      </w:r>
      <w:r>
        <w:t xml:space="preserve"> </w:t>
      </w:r>
      <w:r w:rsidR="007D2362">
        <w:t>payload, orbits</w:t>
      </w:r>
      <w:r>
        <w:t xml:space="preserve"> and splits that will help us to enable the </w:t>
      </w:r>
      <w:r w:rsidR="00910767" w:rsidRPr="00666120">
        <w:t>6G Scenarios and requirements</w:t>
      </w:r>
      <w:r w:rsidR="00910767">
        <w:t xml:space="preserve"> mentioned on the 3GPP TR 38.914, “</w:t>
      </w:r>
      <w:r w:rsidR="00910767" w:rsidRPr="00666120">
        <w:t>Study on 6G Scenarios and requirements</w:t>
      </w:r>
      <w:r w:rsidR="00910767">
        <w:t>”</w:t>
      </w:r>
      <w:r w:rsidR="00C773AD">
        <w:t>.</w:t>
      </w:r>
    </w:p>
    <w:p w14:paraId="0D0314A0" w14:textId="0849B794" w:rsidR="00173418" w:rsidRPr="00332BE2" w:rsidRDefault="00230D18" w:rsidP="002B1BDD">
      <w:pPr>
        <w:pStyle w:val="Titre1"/>
        <w:rPr>
          <w:lang w:val="en-US"/>
        </w:rPr>
      </w:pPr>
      <w:r w:rsidRPr="00332BE2">
        <w:rPr>
          <w:lang w:val="en-US"/>
        </w:rPr>
        <w:t>2</w:t>
      </w:r>
      <w:r w:rsidRPr="00332BE2">
        <w:rPr>
          <w:lang w:val="en-US"/>
        </w:rPr>
        <w:tab/>
      </w:r>
      <w:r w:rsidR="004000E8" w:rsidRPr="00332BE2">
        <w:rPr>
          <w:lang w:val="en-US"/>
        </w:rPr>
        <w:t>Discussion</w:t>
      </w:r>
      <w:bookmarkEnd w:id="2"/>
    </w:p>
    <w:p w14:paraId="613621A6" w14:textId="06470C48" w:rsidR="00E92054" w:rsidRDefault="00CC505A" w:rsidP="00CC505A">
      <w:pPr>
        <w:pStyle w:val="Titre2"/>
      </w:pPr>
      <w:r>
        <w:t>2.1</w:t>
      </w:r>
      <w:r>
        <w:tab/>
      </w:r>
      <w:r w:rsidR="0069218F">
        <w:t>Harmoniz</w:t>
      </w:r>
      <w:r w:rsidR="00977F98">
        <w:t xml:space="preserve">ed </w:t>
      </w:r>
      <w:r w:rsidRPr="00B30C36">
        <w:t xml:space="preserve">6G Radio </w:t>
      </w:r>
      <w:r w:rsidR="009A01A0">
        <w:t xml:space="preserve">access </w:t>
      </w:r>
      <w:r w:rsidRPr="00B30C36">
        <w:t>design for TN and NTN</w:t>
      </w:r>
    </w:p>
    <w:p w14:paraId="17BE056B" w14:textId="59642DF1" w:rsidR="00092FFB" w:rsidRDefault="00092FFB" w:rsidP="00977F98">
      <w:r>
        <w:t>A</w:t>
      </w:r>
      <w:r w:rsidR="00977F98">
        <w:t xml:space="preserve">n </w:t>
      </w:r>
      <w:r w:rsidR="008E2EEF">
        <w:t>harmonized</w:t>
      </w:r>
      <w:r>
        <w:t xml:space="preserve"> </w:t>
      </w:r>
      <w:r w:rsidR="00977F98">
        <w:t xml:space="preserve">6G radio access </w:t>
      </w:r>
      <w:r>
        <w:t xml:space="preserve">architecture </w:t>
      </w:r>
      <w:r w:rsidR="00977F98">
        <w:t xml:space="preserve">will </w:t>
      </w:r>
      <w:r>
        <w:t>enables seamless integration between terrestrial and non-terrestrial in 6G systems</w:t>
      </w:r>
      <w:r w:rsidR="008E2EEF">
        <w:t xml:space="preserve">. </w:t>
      </w:r>
      <w:r w:rsidR="00977F98">
        <w:t>B</w:t>
      </w:r>
      <w:r>
        <w:t>y natively incorporating non-terrestrial networks (NTN</w:t>
      </w:r>
      <w:r w:rsidR="00977F98">
        <w:t xml:space="preserve">) in </w:t>
      </w:r>
      <w:r>
        <w:t xml:space="preserve">6G </w:t>
      </w:r>
      <w:r w:rsidR="0083229F">
        <w:t>i</w:t>
      </w:r>
      <w:r w:rsidR="008E2EEF">
        <w:t xml:space="preserve">t </w:t>
      </w:r>
      <w:r w:rsidR="00977F98">
        <w:t xml:space="preserve">will allow to </w:t>
      </w:r>
      <w:r>
        <w:t>deliver unprecedented levels of performance, resilienc</w:t>
      </w:r>
      <w:r w:rsidR="00977F98">
        <w:t>y</w:t>
      </w:r>
      <w:r>
        <w:t xml:space="preserve">, and coverage, </w:t>
      </w:r>
      <w:r w:rsidR="00977F98">
        <w:t xml:space="preserve">hence </w:t>
      </w:r>
      <w:r>
        <w:t xml:space="preserve">fulfilling the evolving demands of the future mobile ecosystem. Achieving </w:t>
      </w:r>
      <w:r w:rsidR="00977F98">
        <w:t xml:space="preserve">such </w:t>
      </w:r>
      <w:r>
        <w:t>integration requires a unified radio interface that seamlessly supports both terrestrial and satellite connections. This harmonization should address:</w:t>
      </w:r>
    </w:p>
    <w:p w14:paraId="6FE29C2E" w14:textId="360C9047" w:rsidR="00092FFB" w:rsidRPr="00893F01" w:rsidRDefault="00092FFB" w:rsidP="000C6D65">
      <w:pPr>
        <w:numPr>
          <w:ilvl w:val="0"/>
          <w:numId w:val="14"/>
        </w:numPr>
        <w:overflowPunct/>
        <w:autoSpaceDE/>
        <w:autoSpaceDN/>
        <w:adjustRightInd/>
        <w:spacing w:before="120" w:after="120"/>
        <w:textAlignment w:val="auto"/>
      </w:pPr>
      <w:r w:rsidRPr="00893F01">
        <w:t xml:space="preserve">Compatibility with diverse satellite orbits, </w:t>
      </w:r>
      <w:r w:rsidR="00977F98">
        <w:t>including</w:t>
      </w:r>
      <w:r w:rsidRPr="00893F01">
        <w:t xml:space="preserve"> </w:t>
      </w:r>
      <w:r w:rsidR="00977F98">
        <w:t>VLEO (</w:t>
      </w:r>
      <w:r w:rsidRPr="00893F01">
        <w:t>Very LEO</w:t>
      </w:r>
      <w:r w:rsidR="00977F98">
        <w:t>)</w:t>
      </w:r>
      <w:r w:rsidRPr="00893F01">
        <w:t xml:space="preserve">, LEO, MEO, and </w:t>
      </w:r>
      <w:r w:rsidR="00977F98">
        <w:t xml:space="preserve">GSO (among which </w:t>
      </w:r>
      <w:r w:rsidRPr="00893F01">
        <w:t>GEO</w:t>
      </w:r>
      <w:r w:rsidR="00977F98">
        <w:t>)</w:t>
      </w:r>
      <w:r w:rsidRPr="00893F01">
        <w:t>.</w:t>
      </w:r>
    </w:p>
    <w:p w14:paraId="3D688E7D" w14:textId="76A248CE" w:rsidR="00092FFB" w:rsidRDefault="00092FFB" w:rsidP="00092FFB">
      <w:pPr>
        <w:numPr>
          <w:ilvl w:val="0"/>
          <w:numId w:val="14"/>
        </w:numPr>
        <w:overflowPunct/>
        <w:autoSpaceDE/>
        <w:autoSpaceDN/>
        <w:adjustRightInd/>
        <w:spacing w:before="120" w:after="120"/>
        <w:textAlignment w:val="auto"/>
      </w:pPr>
      <w:r w:rsidRPr="00893F01">
        <w:t>Robustness against challenges like Doppler shifts, significant and variable round-</w:t>
      </w:r>
      <w:r>
        <w:t>trip times (RTT), and delay spreads.</w:t>
      </w:r>
    </w:p>
    <w:p w14:paraId="4ACFEF6F" w14:textId="77777777" w:rsidR="008E2EEF" w:rsidRDefault="008E2EEF" w:rsidP="008E2EEF">
      <w:pPr>
        <w:overflowPunct/>
        <w:autoSpaceDE/>
        <w:autoSpaceDN/>
        <w:adjustRightInd/>
        <w:spacing w:before="120" w:after="120"/>
        <w:ind w:left="720"/>
        <w:textAlignment w:val="auto"/>
      </w:pPr>
    </w:p>
    <w:p w14:paraId="1310D7CA" w14:textId="731C4C37" w:rsidR="00763414" w:rsidRDefault="00763414" w:rsidP="00763414">
      <w:pPr>
        <w:pStyle w:val="Proposal"/>
      </w:pPr>
      <w:r>
        <w:t xml:space="preserve">Study </w:t>
      </w:r>
      <w:r w:rsidRPr="008E2EEF">
        <w:t xml:space="preserve">a unified </w:t>
      </w:r>
      <w:r>
        <w:t xml:space="preserve">6G radio access </w:t>
      </w:r>
      <w:r w:rsidRPr="008E2EEF">
        <w:t xml:space="preserve">architecture that </w:t>
      </w:r>
      <w:r>
        <w:t>can</w:t>
      </w:r>
      <w:r w:rsidRPr="008E2EEF">
        <w:t xml:space="preserve"> seamless </w:t>
      </w:r>
      <w:r>
        <w:t xml:space="preserve">support both </w:t>
      </w:r>
      <w:r w:rsidRPr="008E2EEF">
        <w:t>terrestrial and non-terrestrial network</w:t>
      </w:r>
      <w:r>
        <w:t>s</w:t>
      </w:r>
    </w:p>
    <w:p w14:paraId="1571F23F" w14:textId="1CC9DE22" w:rsidR="00EA7ADF" w:rsidRPr="008E2EEF" w:rsidRDefault="00EA7ADF" w:rsidP="00053736">
      <w:pPr>
        <w:pStyle w:val="Titre2"/>
        <w:spacing w:before="200" w:after="160" w:line="259" w:lineRule="auto"/>
      </w:pPr>
      <w:r w:rsidRPr="008E2EEF">
        <w:rPr>
          <w:lang w:val="en-US"/>
        </w:rPr>
        <w:t>2.2</w:t>
      </w:r>
      <w:r>
        <w:rPr>
          <w:lang w:val="en-US"/>
        </w:rPr>
        <w:tab/>
      </w:r>
      <w:r w:rsidR="009A01A0">
        <w:rPr>
          <w:lang w:val="en-US"/>
        </w:rPr>
        <w:t xml:space="preserve">6G Radio </w:t>
      </w:r>
      <w:r w:rsidR="00763414">
        <w:rPr>
          <w:lang w:val="en-US"/>
        </w:rPr>
        <w:t>Access</w:t>
      </w:r>
      <w:r w:rsidR="009A01A0">
        <w:rPr>
          <w:lang w:val="en-US"/>
        </w:rPr>
        <w:t xml:space="preserve"> </w:t>
      </w:r>
      <w:r>
        <w:rPr>
          <w:lang w:val="en-US"/>
        </w:rPr>
        <w:t xml:space="preserve">Network architecture for a native </w:t>
      </w:r>
      <w:r w:rsidR="009A01A0">
        <w:rPr>
          <w:lang w:val="en-US"/>
        </w:rPr>
        <w:t xml:space="preserve">support of </w:t>
      </w:r>
      <w:r>
        <w:rPr>
          <w:lang w:val="en-US"/>
        </w:rPr>
        <w:t>NTN</w:t>
      </w:r>
    </w:p>
    <w:p w14:paraId="3DAE012B" w14:textId="7ABD6A5F" w:rsidR="0069218F" w:rsidRDefault="00940708" w:rsidP="0069218F">
      <w:pPr>
        <w:pStyle w:val="Titre3"/>
      </w:pPr>
      <w:r>
        <w:t>2.2.1</w:t>
      </w:r>
      <w:r>
        <w:tab/>
      </w:r>
      <w:r w:rsidR="009D7CE4" w:rsidRPr="00940708">
        <w:t xml:space="preserve">NTN Payload types </w:t>
      </w:r>
      <w:r w:rsidR="00D55F3B">
        <w:t>and scenarios</w:t>
      </w:r>
    </w:p>
    <w:p w14:paraId="277314CE" w14:textId="77777777" w:rsidR="0069218F" w:rsidRDefault="0069218F" w:rsidP="0069218F">
      <w:pPr>
        <w:keepNext/>
        <w:jc w:val="center"/>
      </w:pPr>
      <w:r w:rsidRPr="0069218F">
        <w:rPr>
          <w:noProof/>
          <w:lang w:val="fr-FR" w:eastAsia="fr-FR"/>
        </w:rPr>
        <w:drawing>
          <wp:inline distT="0" distB="0" distL="0" distR="0" wp14:anchorId="48698B7A" wp14:editId="6CE28DD0">
            <wp:extent cx="4672677" cy="2933382"/>
            <wp:effectExtent l="0" t="0" r="0" b="63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a:stretch>
                      <a:fillRect/>
                    </a:stretch>
                  </pic:blipFill>
                  <pic:spPr>
                    <a:xfrm>
                      <a:off x="0" y="0"/>
                      <a:ext cx="4686497" cy="2942058"/>
                    </a:xfrm>
                    <a:prstGeom prst="rect">
                      <a:avLst/>
                    </a:prstGeom>
                  </pic:spPr>
                </pic:pic>
              </a:graphicData>
            </a:graphic>
          </wp:inline>
        </w:drawing>
      </w:r>
    </w:p>
    <w:p w14:paraId="4FA6B99E" w14:textId="2A09D9C1" w:rsidR="0069218F" w:rsidRPr="0069218F" w:rsidRDefault="0069218F" w:rsidP="0069218F">
      <w:pPr>
        <w:pStyle w:val="Lgende"/>
        <w:jc w:val="center"/>
        <w:rPr>
          <w:lang w:val="en-GB"/>
        </w:rPr>
      </w:pPr>
      <w:r>
        <w:t xml:space="preserve">Figure </w:t>
      </w:r>
      <w:r>
        <w:fldChar w:fldCharType="begin"/>
      </w:r>
      <w:r>
        <w:instrText xml:space="preserve"> SEQ Figure \* ARABIC </w:instrText>
      </w:r>
      <w:r>
        <w:fldChar w:fldCharType="separate"/>
      </w:r>
      <w:r>
        <w:rPr>
          <w:noProof/>
        </w:rPr>
        <w:t>1</w:t>
      </w:r>
      <w:r>
        <w:fldChar w:fldCharType="end"/>
      </w:r>
      <w:r>
        <w:t xml:space="preserve"> : Proposal for a 6G NTN deployment scenario</w:t>
      </w:r>
    </w:p>
    <w:p w14:paraId="7D5AFD05" w14:textId="2B4C4DB3" w:rsidR="002C0792" w:rsidRPr="00BF1F0E" w:rsidRDefault="002C0792" w:rsidP="002C0792">
      <w:pPr>
        <w:rPr>
          <w:rFonts w:cs="Arial"/>
        </w:rPr>
      </w:pPr>
      <w:r w:rsidRPr="00BF1F0E">
        <w:rPr>
          <w:rFonts w:cs="Arial"/>
        </w:rPr>
        <w:t xml:space="preserve">Below are some considerations for practical NTN scenarios for 6G. </w:t>
      </w:r>
      <w:r w:rsidR="0069218F">
        <w:rPr>
          <w:rFonts w:cs="Arial"/>
        </w:rPr>
        <w:t xml:space="preserve">The different scenarios are illustrated on the figure above. </w:t>
      </w:r>
      <w:r w:rsidRPr="00BF1F0E">
        <w:rPr>
          <w:rFonts w:cs="Arial"/>
        </w:rPr>
        <w:t>The following orbits should be considered:</w:t>
      </w:r>
    </w:p>
    <w:p w14:paraId="26A9A713" w14:textId="3D8AB258" w:rsidR="002C0792" w:rsidRPr="00BF1F0E" w:rsidRDefault="002C0792" w:rsidP="002C0792">
      <w:pPr>
        <w:pStyle w:val="Paragraphedeliste"/>
        <w:numPr>
          <w:ilvl w:val="0"/>
          <w:numId w:val="24"/>
        </w:numPr>
        <w:overflowPunct/>
        <w:autoSpaceDE/>
        <w:autoSpaceDN/>
        <w:adjustRightInd/>
        <w:spacing w:after="200" w:line="276" w:lineRule="auto"/>
        <w:contextualSpacing/>
        <w:textAlignment w:val="auto"/>
        <w:rPr>
          <w:rFonts w:ascii="Arial" w:hAnsi="Arial" w:cs="Arial"/>
          <w:sz w:val="20"/>
          <w:szCs w:val="20"/>
          <w:lang w:val="en-US"/>
        </w:rPr>
      </w:pPr>
      <w:r w:rsidRPr="00E2142D">
        <w:rPr>
          <w:rFonts w:ascii="Arial" w:hAnsi="Arial" w:cs="Arial"/>
          <w:b/>
          <w:sz w:val="20"/>
          <w:szCs w:val="20"/>
          <w:lang w:val="en-US"/>
        </w:rPr>
        <w:t>VLEO</w:t>
      </w:r>
      <w:r>
        <w:rPr>
          <w:rFonts w:ascii="Arial" w:hAnsi="Arial" w:cs="Arial"/>
          <w:b/>
          <w:sz w:val="20"/>
          <w:szCs w:val="20"/>
          <w:lang w:val="en-US"/>
        </w:rPr>
        <w:t xml:space="preserve"> </w:t>
      </w:r>
      <w:r>
        <w:rPr>
          <w:rFonts w:ascii="Arial" w:hAnsi="Arial" w:cs="Arial"/>
          <w:sz w:val="20"/>
          <w:szCs w:val="20"/>
          <w:lang w:val="en-US"/>
        </w:rPr>
        <w:t>(</w:t>
      </w:r>
      <w:r w:rsidR="0083229F">
        <w:rPr>
          <w:rFonts w:ascii="Arial" w:hAnsi="Arial" w:cs="Arial"/>
          <w:sz w:val="20"/>
          <w:szCs w:val="20"/>
          <w:lang w:val="en-US"/>
        </w:rPr>
        <w:t>V</w:t>
      </w:r>
      <w:r>
        <w:rPr>
          <w:rFonts w:ascii="Arial" w:hAnsi="Arial" w:cs="Arial"/>
          <w:sz w:val="20"/>
          <w:szCs w:val="20"/>
          <w:lang w:val="en-US"/>
        </w:rPr>
        <w:t xml:space="preserve">ery </w:t>
      </w:r>
      <w:r w:rsidR="0083229F">
        <w:rPr>
          <w:rFonts w:ascii="Arial" w:hAnsi="Arial" w:cs="Arial"/>
          <w:sz w:val="20"/>
          <w:szCs w:val="20"/>
          <w:lang w:val="en-US"/>
        </w:rPr>
        <w:t>L</w:t>
      </w:r>
      <w:r>
        <w:rPr>
          <w:rFonts w:ascii="Arial" w:hAnsi="Arial" w:cs="Arial"/>
          <w:sz w:val="20"/>
          <w:szCs w:val="20"/>
          <w:lang w:val="en-US"/>
        </w:rPr>
        <w:t xml:space="preserve">ow </w:t>
      </w:r>
      <w:r w:rsidR="0083229F">
        <w:rPr>
          <w:rFonts w:ascii="Arial" w:hAnsi="Arial" w:cs="Arial"/>
          <w:sz w:val="20"/>
          <w:szCs w:val="20"/>
          <w:lang w:val="en-US"/>
        </w:rPr>
        <w:t>E</w:t>
      </w:r>
      <w:r>
        <w:rPr>
          <w:rFonts w:ascii="Arial" w:hAnsi="Arial" w:cs="Arial"/>
          <w:sz w:val="20"/>
          <w:szCs w:val="20"/>
          <w:lang w:val="en-US"/>
        </w:rPr>
        <w:t xml:space="preserve">arth </w:t>
      </w:r>
      <w:r w:rsidR="0083229F">
        <w:rPr>
          <w:rFonts w:ascii="Arial" w:hAnsi="Arial" w:cs="Arial"/>
          <w:sz w:val="20"/>
          <w:szCs w:val="20"/>
          <w:lang w:val="en-US"/>
        </w:rPr>
        <w:t>O</w:t>
      </w:r>
      <w:r>
        <w:rPr>
          <w:rFonts w:ascii="Arial" w:hAnsi="Arial" w:cs="Arial"/>
          <w:sz w:val="20"/>
          <w:szCs w:val="20"/>
          <w:lang w:val="en-US"/>
        </w:rPr>
        <w:t>rbit)</w:t>
      </w:r>
      <w:r w:rsidRPr="00BF1F0E">
        <w:rPr>
          <w:rFonts w:ascii="Arial" w:hAnsi="Arial" w:cs="Arial"/>
          <w:sz w:val="20"/>
          <w:szCs w:val="20"/>
          <w:lang w:val="en-US"/>
        </w:rPr>
        <w:t xml:space="preserve"> based scenario at minimum altitude of 300 km: Satellites operating at this altitude benefit from reduced latency due to their proximity to the surface of Earth, which can enhance communication and observation capabilities. At this altitude, the Round Trip Delay becomes closer to the one of terrestrial extended cells. Further, this closer proximity to Earth can offer more accurate ground metrics, and potentially lower cost for certain types of satellite operations. However, </w:t>
      </w:r>
      <w:r w:rsidRPr="00BF1F0E">
        <w:rPr>
          <w:rFonts w:ascii="Arial" w:hAnsi="Arial" w:cs="Arial"/>
          <w:sz w:val="20"/>
          <w:szCs w:val="20"/>
          <w:lang w:val="en-US"/>
        </w:rPr>
        <w:lastRenderedPageBreak/>
        <w:t>deployment at a VLEO orbit would require a very high number of satellites to generate overlapping footprint and hence service continuity in the targeted coverage. This is now made possible with the ever decreased launch cost. Typically, a maximum satellite beam footprint diameter of [250] km or lower should be supported.</w:t>
      </w:r>
    </w:p>
    <w:p w14:paraId="557B39ED" w14:textId="1EF28715" w:rsidR="002C0792" w:rsidRPr="00BF1F0E" w:rsidRDefault="002C0792" w:rsidP="002C0792">
      <w:pPr>
        <w:pStyle w:val="Paragraphedeliste"/>
        <w:numPr>
          <w:ilvl w:val="0"/>
          <w:numId w:val="24"/>
        </w:numPr>
        <w:overflowPunct/>
        <w:autoSpaceDE/>
        <w:autoSpaceDN/>
        <w:adjustRightInd/>
        <w:spacing w:after="200" w:line="276" w:lineRule="auto"/>
        <w:contextualSpacing/>
        <w:textAlignment w:val="auto"/>
        <w:rPr>
          <w:rFonts w:ascii="Arial" w:hAnsi="Arial" w:cs="Arial"/>
          <w:sz w:val="20"/>
          <w:szCs w:val="20"/>
          <w:lang w:val="en-US"/>
        </w:rPr>
      </w:pPr>
      <w:r w:rsidRPr="00E2142D">
        <w:rPr>
          <w:rFonts w:ascii="Arial" w:hAnsi="Arial" w:cs="Arial"/>
          <w:b/>
          <w:sz w:val="20"/>
          <w:szCs w:val="20"/>
          <w:lang w:val="en-US"/>
        </w:rPr>
        <w:t>LEO</w:t>
      </w:r>
      <w:r w:rsidRPr="00BF1F0E">
        <w:rPr>
          <w:rFonts w:ascii="Arial" w:hAnsi="Arial" w:cs="Arial"/>
          <w:sz w:val="20"/>
          <w:szCs w:val="20"/>
          <w:lang w:val="en-US"/>
        </w:rPr>
        <w:t xml:space="preserve"> (</w:t>
      </w:r>
      <w:r w:rsidR="0083229F">
        <w:rPr>
          <w:rFonts w:ascii="Arial" w:hAnsi="Arial" w:cs="Arial"/>
          <w:sz w:val="20"/>
          <w:szCs w:val="20"/>
          <w:lang w:val="en-US"/>
        </w:rPr>
        <w:t>L</w:t>
      </w:r>
      <w:r>
        <w:rPr>
          <w:rFonts w:ascii="Arial" w:hAnsi="Arial" w:cs="Arial"/>
          <w:sz w:val="20"/>
          <w:szCs w:val="20"/>
          <w:lang w:val="en-US"/>
        </w:rPr>
        <w:t xml:space="preserve">ow Earth </w:t>
      </w:r>
      <w:r w:rsidR="0083229F">
        <w:rPr>
          <w:rFonts w:ascii="Arial" w:hAnsi="Arial" w:cs="Arial"/>
          <w:sz w:val="20"/>
          <w:szCs w:val="20"/>
          <w:lang w:val="en-US"/>
        </w:rPr>
        <w:t>O</w:t>
      </w:r>
      <w:r>
        <w:rPr>
          <w:rFonts w:ascii="Arial" w:hAnsi="Arial" w:cs="Arial"/>
          <w:sz w:val="20"/>
          <w:szCs w:val="20"/>
          <w:lang w:val="en-US"/>
        </w:rPr>
        <w:t>rbit</w:t>
      </w:r>
      <w:r w:rsidRPr="00BF1F0E">
        <w:rPr>
          <w:rFonts w:ascii="Arial" w:hAnsi="Arial" w:cs="Arial"/>
          <w:sz w:val="20"/>
          <w:szCs w:val="20"/>
          <w:lang w:val="en-US"/>
        </w:rPr>
        <w:t xml:space="preserve">) based scenarios (respectively 600 and 1200 km altitude): While these scenarios are already supported in the context of 5G, the maximum beam footprint can be reduced in the context of 6G since the targeted service rate is likely higher than </w:t>
      </w:r>
      <w:r>
        <w:rPr>
          <w:rFonts w:ascii="Arial" w:hAnsi="Arial" w:cs="Arial"/>
          <w:sz w:val="20"/>
          <w:szCs w:val="20"/>
          <w:lang w:val="en-US"/>
        </w:rPr>
        <w:t>5G</w:t>
      </w:r>
      <w:r w:rsidR="0069218F">
        <w:rPr>
          <w:rFonts w:ascii="Arial" w:hAnsi="Arial" w:cs="Arial"/>
          <w:sz w:val="20"/>
          <w:szCs w:val="20"/>
          <w:lang w:val="en-US"/>
        </w:rPr>
        <w:t xml:space="preserve"> </w:t>
      </w:r>
      <w:r w:rsidRPr="00BF1F0E">
        <w:rPr>
          <w:rFonts w:ascii="Arial" w:hAnsi="Arial" w:cs="Arial"/>
          <w:sz w:val="20"/>
          <w:szCs w:val="20"/>
          <w:lang w:val="en-US"/>
        </w:rPr>
        <w:t>NTN capability and hence require satellites able to achieve high antenna gain and hence generate smaller beams. Typically, a maximum satellite beam footprint diameter of [250] km or lower should be supported.</w:t>
      </w:r>
    </w:p>
    <w:p w14:paraId="736A1183" w14:textId="6C701D14" w:rsidR="002C0792" w:rsidRPr="00BF1F0E" w:rsidRDefault="002C0792" w:rsidP="002C0792">
      <w:pPr>
        <w:pStyle w:val="Paragraphedeliste"/>
        <w:numPr>
          <w:ilvl w:val="0"/>
          <w:numId w:val="24"/>
        </w:numPr>
        <w:overflowPunct/>
        <w:autoSpaceDE/>
        <w:autoSpaceDN/>
        <w:adjustRightInd/>
        <w:spacing w:after="200" w:line="276" w:lineRule="auto"/>
        <w:contextualSpacing/>
        <w:textAlignment w:val="auto"/>
        <w:rPr>
          <w:rFonts w:ascii="Arial" w:hAnsi="Arial" w:cs="Arial"/>
          <w:sz w:val="20"/>
          <w:szCs w:val="20"/>
          <w:lang w:val="en-US"/>
        </w:rPr>
      </w:pPr>
      <w:r w:rsidRPr="00E2142D">
        <w:rPr>
          <w:rFonts w:ascii="Arial" w:hAnsi="Arial" w:cs="Arial"/>
          <w:b/>
          <w:sz w:val="20"/>
          <w:szCs w:val="20"/>
          <w:lang w:val="en-US"/>
        </w:rPr>
        <w:t>MEO</w:t>
      </w:r>
      <w:r w:rsidRPr="00BF1F0E">
        <w:rPr>
          <w:rFonts w:ascii="Arial" w:hAnsi="Arial" w:cs="Arial"/>
          <w:sz w:val="20"/>
          <w:szCs w:val="20"/>
          <w:lang w:val="en-US"/>
        </w:rPr>
        <w:t xml:space="preserve"> </w:t>
      </w:r>
      <w:r>
        <w:rPr>
          <w:rFonts w:ascii="Arial" w:hAnsi="Arial" w:cs="Arial"/>
          <w:sz w:val="20"/>
          <w:szCs w:val="20"/>
          <w:lang w:val="en-US"/>
        </w:rPr>
        <w:t>(</w:t>
      </w:r>
      <w:r w:rsidR="0083229F">
        <w:rPr>
          <w:rFonts w:ascii="Arial" w:hAnsi="Arial" w:cs="Arial"/>
          <w:sz w:val="20"/>
          <w:szCs w:val="20"/>
          <w:lang w:val="en-US"/>
        </w:rPr>
        <w:t>M</w:t>
      </w:r>
      <w:r>
        <w:rPr>
          <w:rFonts w:ascii="Arial" w:hAnsi="Arial" w:cs="Arial"/>
          <w:sz w:val="20"/>
          <w:szCs w:val="20"/>
          <w:lang w:val="en-US"/>
        </w:rPr>
        <w:t xml:space="preserve">edium Earth </w:t>
      </w:r>
      <w:r w:rsidR="0083229F">
        <w:rPr>
          <w:rFonts w:ascii="Arial" w:hAnsi="Arial" w:cs="Arial"/>
          <w:sz w:val="20"/>
          <w:szCs w:val="20"/>
          <w:lang w:val="en-US"/>
        </w:rPr>
        <w:t>O</w:t>
      </w:r>
      <w:r>
        <w:rPr>
          <w:rFonts w:ascii="Arial" w:hAnsi="Arial" w:cs="Arial"/>
          <w:sz w:val="20"/>
          <w:szCs w:val="20"/>
          <w:lang w:val="en-US"/>
        </w:rPr>
        <w:t xml:space="preserve">rbit) </w:t>
      </w:r>
      <w:r w:rsidRPr="00BF1F0E">
        <w:rPr>
          <w:rFonts w:ascii="Arial" w:hAnsi="Arial" w:cs="Arial"/>
          <w:sz w:val="20"/>
          <w:szCs w:val="20"/>
          <w:lang w:val="en-US"/>
        </w:rPr>
        <w:t xml:space="preserve">based scenarios (10000 km altitude): In line with the above, typically, a maximum satellite beam footprint diameter of 250 km or </w:t>
      </w:r>
      <w:r w:rsidRPr="00A37CF5">
        <w:rPr>
          <w:rFonts w:ascii="Arial" w:eastAsia="Times New Roman" w:hAnsi="Arial"/>
          <w:sz w:val="20"/>
          <w:szCs w:val="20"/>
          <w:lang w:val="en-US" w:eastAsia="ja-JP"/>
        </w:rPr>
        <w:t>lower should</w:t>
      </w:r>
      <w:r w:rsidRPr="00BF1F0E">
        <w:rPr>
          <w:rFonts w:ascii="Arial" w:hAnsi="Arial" w:cs="Arial"/>
          <w:sz w:val="20"/>
          <w:szCs w:val="20"/>
          <w:lang w:val="en-US"/>
        </w:rPr>
        <w:t xml:space="preserve"> be supported.</w:t>
      </w:r>
      <w:r w:rsidR="009D7CE4">
        <w:rPr>
          <w:rFonts w:ascii="Arial" w:hAnsi="Arial" w:cs="Arial"/>
          <w:sz w:val="20"/>
          <w:szCs w:val="20"/>
          <w:lang w:val="en-US"/>
        </w:rPr>
        <w:t xml:space="preserve"> It offers a global coverage at a reduced cost.</w:t>
      </w:r>
    </w:p>
    <w:p w14:paraId="21B576EA" w14:textId="4DEC4BD2" w:rsidR="0069218F" w:rsidRPr="00797257" w:rsidRDefault="002C0792" w:rsidP="0069218F">
      <w:pPr>
        <w:pStyle w:val="Paragraphedeliste"/>
        <w:numPr>
          <w:ilvl w:val="0"/>
          <w:numId w:val="24"/>
        </w:numPr>
        <w:overflowPunct/>
        <w:autoSpaceDE/>
        <w:autoSpaceDN/>
        <w:adjustRightInd/>
        <w:spacing w:after="200" w:line="276" w:lineRule="auto"/>
        <w:contextualSpacing/>
        <w:textAlignment w:val="auto"/>
        <w:rPr>
          <w:rFonts w:ascii="Arial" w:hAnsi="Arial" w:cs="Arial"/>
          <w:sz w:val="20"/>
          <w:szCs w:val="20"/>
          <w:lang w:val="en-US"/>
        </w:rPr>
      </w:pPr>
      <w:r w:rsidRPr="00E2142D">
        <w:rPr>
          <w:rFonts w:ascii="Arial" w:hAnsi="Arial" w:cs="Arial"/>
          <w:b/>
          <w:sz w:val="20"/>
          <w:szCs w:val="20"/>
          <w:lang w:val="en-US"/>
        </w:rPr>
        <w:t>GSO</w:t>
      </w:r>
      <w:r w:rsidRPr="00BF1F0E">
        <w:rPr>
          <w:rFonts w:ascii="Arial" w:hAnsi="Arial" w:cs="Arial"/>
          <w:sz w:val="20"/>
          <w:szCs w:val="20"/>
          <w:lang w:val="en-US"/>
        </w:rPr>
        <w:t xml:space="preserve"> </w:t>
      </w:r>
      <w:r>
        <w:rPr>
          <w:rFonts w:ascii="Arial" w:hAnsi="Arial" w:cs="Arial"/>
          <w:sz w:val="20"/>
          <w:szCs w:val="20"/>
          <w:lang w:val="en-US"/>
        </w:rPr>
        <w:t>(</w:t>
      </w:r>
      <w:r w:rsidR="00DB4414">
        <w:rPr>
          <w:rFonts w:ascii="Arial" w:hAnsi="Arial" w:cs="Arial"/>
          <w:sz w:val="20"/>
          <w:szCs w:val="20"/>
          <w:lang w:val="en-US"/>
        </w:rPr>
        <w:t>Geosynchronous</w:t>
      </w:r>
      <w:r w:rsidR="0083229F">
        <w:rPr>
          <w:rFonts w:ascii="Arial" w:hAnsi="Arial" w:cs="Arial"/>
          <w:sz w:val="20"/>
          <w:szCs w:val="20"/>
          <w:lang w:val="en-US"/>
        </w:rPr>
        <w:t xml:space="preserve"> Satellite Orbit</w:t>
      </w:r>
      <w:r>
        <w:rPr>
          <w:rFonts w:ascii="Arial" w:hAnsi="Arial" w:cs="Arial"/>
          <w:sz w:val="20"/>
          <w:szCs w:val="20"/>
          <w:lang w:val="en-US"/>
        </w:rPr>
        <w:t xml:space="preserve">, including GEO) </w:t>
      </w:r>
      <w:r w:rsidRPr="00BF1F0E">
        <w:rPr>
          <w:rFonts w:ascii="Arial" w:hAnsi="Arial" w:cs="Arial"/>
          <w:sz w:val="20"/>
          <w:szCs w:val="20"/>
          <w:lang w:val="en-US"/>
        </w:rPr>
        <w:t>based scenarios</w:t>
      </w:r>
      <w:r>
        <w:rPr>
          <w:rFonts w:ascii="Arial" w:hAnsi="Arial" w:cs="Arial"/>
          <w:sz w:val="20"/>
          <w:szCs w:val="20"/>
          <w:lang w:val="en-US"/>
        </w:rPr>
        <w:t xml:space="preserve"> (35786 km altitude): Offer a global coverage with more capacity embarked with typical beam footprint size of 250 up to 3500 km.</w:t>
      </w:r>
    </w:p>
    <w:p w14:paraId="1334064F" w14:textId="3AE74FCA" w:rsidR="002C0792" w:rsidRPr="00E2142D" w:rsidRDefault="002C0792" w:rsidP="002C0792">
      <w:pPr>
        <w:rPr>
          <w:rFonts w:eastAsiaTheme="minorEastAsia"/>
        </w:rPr>
      </w:pPr>
      <w:r w:rsidRPr="00CD490F">
        <w:rPr>
          <w:rFonts w:eastAsiaTheme="minorEastAsia"/>
        </w:rPr>
        <w:t>Additionally, the 6G radio access should also support multi orbit space segment combining at least a GSO with an</w:t>
      </w:r>
      <w:r w:rsidR="0069218F">
        <w:rPr>
          <w:rFonts w:eastAsiaTheme="minorEastAsia"/>
        </w:rPr>
        <w:t xml:space="preserve"> NGSO based scenario, illustrated in Figure 1.</w:t>
      </w:r>
    </w:p>
    <w:p w14:paraId="4DE2C284" w14:textId="78611F58" w:rsidR="002C0792" w:rsidRPr="00940708" w:rsidRDefault="00940708" w:rsidP="00940708">
      <w:pPr>
        <w:pStyle w:val="Titre3"/>
      </w:pPr>
      <w:r>
        <w:t>2.2.2</w:t>
      </w:r>
      <w:r>
        <w:tab/>
      </w:r>
      <w:r w:rsidR="002C0792" w:rsidRPr="00940708">
        <w:t>Ty</w:t>
      </w:r>
      <w:r w:rsidR="00CD3321">
        <w:t>pes</w:t>
      </w:r>
      <w:r w:rsidR="002C0792" w:rsidRPr="00940708">
        <w:t xml:space="preserve"> of cell</w:t>
      </w:r>
      <w:r w:rsidR="00CD3321">
        <w:t>s</w:t>
      </w:r>
      <w:r w:rsidR="00281A4D" w:rsidRPr="00940708">
        <w:t xml:space="preserve"> supported on NTN : </w:t>
      </w:r>
    </w:p>
    <w:p w14:paraId="49F7F9E6" w14:textId="46080DC8" w:rsidR="00281A4D" w:rsidRPr="00281A4D" w:rsidRDefault="00281A4D" w:rsidP="00281A4D">
      <w:pPr>
        <w:rPr>
          <w:rFonts w:cs="Arial"/>
        </w:rPr>
      </w:pPr>
      <w:r>
        <w:rPr>
          <w:rFonts w:cs="Arial"/>
        </w:rPr>
        <w:t>T</w:t>
      </w:r>
      <w:r w:rsidRPr="00281A4D">
        <w:rPr>
          <w:rFonts w:cs="Arial"/>
        </w:rPr>
        <w:t>he different types of cells supported in Non-Terrestrial Networks (NTN)</w:t>
      </w:r>
      <w:r>
        <w:rPr>
          <w:rFonts w:cs="Arial"/>
        </w:rPr>
        <w:t xml:space="preserve"> are</w:t>
      </w:r>
      <w:r w:rsidRPr="00281A4D">
        <w:rPr>
          <w:rFonts w:cs="Arial"/>
        </w:rPr>
        <w:t>:</w:t>
      </w:r>
    </w:p>
    <w:p w14:paraId="493ACCC3" w14:textId="67E2B14A" w:rsidR="00281A4D" w:rsidRPr="00281A4D" w:rsidRDefault="00281A4D" w:rsidP="00281A4D">
      <w:pPr>
        <w:rPr>
          <w:rFonts w:cs="Arial"/>
        </w:rPr>
      </w:pPr>
      <w:r w:rsidRPr="00CB569E">
        <w:rPr>
          <w:rFonts w:cs="Arial"/>
          <w:bCs/>
        </w:rPr>
        <w:t>1. Quasi-Earth Fixed Cells:</w:t>
      </w:r>
      <w:r w:rsidR="00CB569E">
        <w:rPr>
          <w:rFonts w:cs="Arial"/>
        </w:rPr>
        <w:t xml:space="preserve"> </w:t>
      </w:r>
      <w:r w:rsidRPr="00A37CF5">
        <w:rPr>
          <w:rFonts w:eastAsia="Calibri" w:cs="Arial"/>
          <w:lang w:eastAsia="en-US"/>
        </w:rPr>
        <w:t>Quasi-Earth fixed cells are radio coverage areas on the ground that are almost, but not completely, stationary relative to the Earth’s surface. These cells are typically associated with non-geostationary satellites (such as those in LEO and MEO) whose orbits cause their coverage footprints to move slowly or only slightly shift on the ground.</w:t>
      </w:r>
    </w:p>
    <w:p w14:paraId="6FCE375E" w14:textId="43F85ACB" w:rsidR="00281A4D" w:rsidRPr="00281A4D" w:rsidRDefault="00281A4D" w:rsidP="00281A4D">
      <w:pPr>
        <w:rPr>
          <w:rFonts w:cs="Arial"/>
        </w:rPr>
      </w:pPr>
      <w:r w:rsidRPr="00CB569E">
        <w:rPr>
          <w:rFonts w:cs="Arial"/>
          <w:bCs/>
        </w:rPr>
        <w:t>2. Earth Moving Cells:</w:t>
      </w:r>
      <w:r w:rsidR="00CB569E">
        <w:rPr>
          <w:rFonts w:cs="Arial"/>
        </w:rPr>
        <w:t xml:space="preserve"> </w:t>
      </w:r>
      <w:r w:rsidRPr="00281A4D">
        <w:rPr>
          <w:rFonts w:cs="Arial"/>
        </w:rPr>
        <w:t xml:space="preserve">Earth moving cells are coverage zones that move continuously across the Earth’s surface. These are commonly linked to satellites in orbits where the coverage area does not stay fixed to one location but sweeps across different regions as the satellite passes overhead. </w:t>
      </w:r>
    </w:p>
    <w:p w14:paraId="552F0BE1" w14:textId="4852E288" w:rsidR="00281A4D" w:rsidRPr="00281A4D" w:rsidRDefault="00281A4D" w:rsidP="00281A4D">
      <w:pPr>
        <w:rPr>
          <w:rFonts w:cs="Arial"/>
        </w:rPr>
      </w:pPr>
      <w:r w:rsidRPr="00CB569E">
        <w:rPr>
          <w:rFonts w:cs="Arial"/>
          <w:bCs/>
        </w:rPr>
        <w:t>3. Earth Fixed Cells:</w:t>
      </w:r>
      <w:r w:rsidR="00CB569E">
        <w:rPr>
          <w:rFonts w:cs="Arial"/>
        </w:rPr>
        <w:t xml:space="preserve"> </w:t>
      </w:r>
      <w:r w:rsidRPr="00281A4D">
        <w:rPr>
          <w:rFonts w:cs="Arial"/>
        </w:rPr>
        <w:t>Earth fixed cells are coverage zones that remain fixed relative to a specific geographic location on the Earth’s surface. This is mainly possible with geostationary satellites, which orbit at the same rotational speed as the Earth and thus "hover" over one position. The coverage area of an Earth fixed cell does not change over time</w:t>
      </w:r>
      <w:r>
        <w:rPr>
          <w:rFonts w:cs="Arial"/>
        </w:rPr>
        <w:t>.</w:t>
      </w:r>
    </w:p>
    <w:p w14:paraId="23C93D73" w14:textId="69676D96" w:rsidR="00913D49" w:rsidRDefault="00913D49" w:rsidP="00913D49">
      <w:pPr>
        <w:pStyle w:val="Lgende"/>
        <w:keepNext/>
        <w:jc w:val="center"/>
      </w:pPr>
      <w:r>
        <w:t>Tab</w:t>
      </w:r>
      <w:r w:rsidR="00CD3321">
        <w:t>le</w:t>
      </w:r>
      <w:r>
        <w:t xml:space="preserve"> </w:t>
      </w:r>
      <w:r>
        <w:fldChar w:fldCharType="begin"/>
      </w:r>
      <w:r>
        <w:instrText xml:space="preserve"> SEQ Tableau \* ARABIC </w:instrText>
      </w:r>
      <w:r>
        <w:fldChar w:fldCharType="separate"/>
      </w:r>
      <w:r>
        <w:rPr>
          <w:noProof/>
        </w:rPr>
        <w:t>1</w:t>
      </w:r>
      <w:r>
        <w:fldChar w:fldCharType="end"/>
      </w:r>
      <w:r>
        <w:t xml:space="preserve"> Types of cells</w:t>
      </w:r>
    </w:p>
    <w:tbl>
      <w:tblPr>
        <w:tblStyle w:val="Grilledutableau"/>
        <w:tblW w:w="0" w:type="auto"/>
        <w:jc w:val="center"/>
        <w:tblLook w:val="04A0" w:firstRow="1" w:lastRow="0" w:firstColumn="1" w:lastColumn="0" w:noHBand="0" w:noVBand="1"/>
      </w:tblPr>
      <w:tblGrid>
        <w:gridCol w:w="1916"/>
        <w:gridCol w:w="2968"/>
        <w:gridCol w:w="2649"/>
      </w:tblGrid>
      <w:tr w:rsidR="00281A4D" w:rsidRPr="00281A4D" w14:paraId="57F1B7E4" w14:textId="77777777" w:rsidTr="000504F5">
        <w:trPr>
          <w:jc w:val="center"/>
        </w:trPr>
        <w:tc>
          <w:tcPr>
            <w:tcW w:w="0" w:type="auto"/>
            <w:hideMark/>
          </w:tcPr>
          <w:p w14:paraId="39B02C43" w14:textId="77777777" w:rsidR="00281A4D" w:rsidRPr="000504F5" w:rsidRDefault="00281A4D" w:rsidP="00281A4D">
            <w:pPr>
              <w:rPr>
                <w:rFonts w:cs="Arial"/>
                <w:b/>
                <w:lang w:val="fr-FR"/>
              </w:rPr>
            </w:pPr>
            <w:proofErr w:type="spellStart"/>
            <w:r w:rsidRPr="000504F5">
              <w:rPr>
                <w:rFonts w:cs="Arial"/>
                <w:b/>
                <w:lang w:val="fr-FR"/>
              </w:rPr>
              <w:t>Cell</w:t>
            </w:r>
            <w:proofErr w:type="spellEnd"/>
            <w:r w:rsidRPr="000504F5">
              <w:rPr>
                <w:rFonts w:cs="Arial"/>
                <w:b/>
                <w:lang w:val="fr-FR"/>
              </w:rPr>
              <w:t xml:space="preserve"> Type</w:t>
            </w:r>
          </w:p>
        </w:tc>
        <w:tc>
          <w:tcPr>
            <w:tcW w:w="0" w:type="auto"/>
            <w:hideMark/>
          </w:tcPr>
          <w:p w14:paraId="369ED757" w14:textId="77777777" w:rsidR="00281A4D" w:rsidRPr="000504F5" w:rsidRDefault="00281A4D" w:rsidP="00281A4D">
            <w:pPr>
              <w:rPr>
                <w:rFonts w:cs="Arial"/>
                <w:b/>
                <w:lang w:val="fr-FR"/>
              </w:rPr>
            </w:pPr>
            <w:proofErr w:type="spellStart"/>
            <w:r w:rsidRPr="000504F5">
              <w:rPr>
                <w:rFonts w:cs="Arial"/>
                <w:b/>
                <w:lang w:val="fr-FR"/>
              </w:rPr>
              <w:t>Coverage</w:t>
            </w:r>
            <w:proofErr w:type="spellEnd"/>
            <w:r w:rsidRPr="000504F5">
              <w:rPr>
                <w:rFonts w:cs="Arial"/>
                <w:b/>
                <w:lang w:val="fr-FR"/>
              </w:rPr>
              <w:t xml:space="preserve"> </w:t>
            </w:r>
            <w:proofErr w:type="spellStart"/>
            <w:r w:rsidRPr="000504F5">
              <w:rPr>
                <w:rFonts w:cs="Arial"/>
                <w:b/>
                <w:lang w:val="fr-FR"/>
              </w:rPr>
              <w:t>Movement</w:t>
            </w:r>
            <w:proofErr w:type="spellEnd"/>
          </w:p>
        </w:tc>
        <w:tc>
          <w:tcPr>
            <w:tcW w:w="0" w:type="auto"/>
            <w:hideMark/>
          </w:tcPr>
          <w:p w14:paraId="06B7E5A6" w14:textId="77777777" w:rsidR="00281A4D" w:rsidRPr="000504F5" w:rsidRDefault="00281A4D" w:rsidP="00281A4D">
            <w:pPr>
              <w:rPr>
                <w:rFonts w:cs="Arial"/>
                <w:b/>
                <w:lang w:val="fr-FR"/>
              </w:rPr>
            </w:pPr>
            <w:proofErr w:type="spellStart"/>
            <w:r w:rsidRPr="000504F5">
              <w:rPr>
                <w:rFonts w:cs="Arial"/>
                <w:b/>
                <w:lang w:val="fr-FR"/>
              </w:rPr>
              <w:t>Typical</w:t>
            </w:r>
            <w:proofErr w:type="spellEnd"/>
            <w:r w:rsidRPr="000504F5">
              <w:rPr>
                <w:rFonts w:cs="Arial"/>
                <w:b/>
                <w:lang w:val="fr-FR"/>
              </w:rPr>
              <w:t xml:space="preserve"> Satellite </w:t>
            </w:r>
            <w:proofErr w:type="spellStart"/>
            <w:r w:rsidRPr="000504F5">
              <w:rPr>
                <w:rFonts w:cs="Arial"/>
                <w:b/>
                <w:lang w:val="fr-FR"/>
              </w:rPr>
              <w:t>Orbit</w:t>
            </w:r>
            <w:proofErr w:type="spellEnd"/>
          </w:p>
        </w:tc>
      </w:tr>
      <w:tr w:rsidR="00281A4D" w:rsidRPr="00281A4D" w14:paraId="7BD49A62" w14:textId="77777777" w:rsidTr="000504F5">
        <w:trPr>
          <w:jc w:val="center"/>
        </w:trPr>
        <w:tc>
          <w:tcPr>
            <w:tcW w:w="0" w:type="auto"/>
            <w:hideMark/>
          </w:tcPr>
          <w:p w14:paraId="6F289492" w14:textId="77777777" w:rsidR="00281A4D" w:rsidRPr="00281A4D" w:rsidRDefault="00281A4D" w:rsidP="00281A4D">
            <w:pPr>
              <w:rPr>
                <w:rFonts w:cs="Arial"/>
                <w:lang w:val="fr-FR"/>
              </w:rPr>
            </w:pPr>
            <w:r w:rsidRPr="00281A4D">
              <w:rPr>
                <w:rFonts w:cs="Arial"/>
                <w:lang w:val="fr-FR"/>
              </w:rPr>
              <w:t>Quasi-</w:t>
            </w:r>
            <w:proofErr w:type="spellStart"/>
            <w:r w:rsidRPr="00281A4D">
              <w:rPr>
                <w:rFonts w:cs="Arial"/>
                <w:lang w:val="fr-FR"/>
              </w:rPr>
              <w:t>Earth</w:t>
            </w:r>
            <w:proofErr w:type="spellEnd"/>
            <w:r w:rsidRPr="00281A4D">
              <w:rPr>
                <w:rFonts w:cs="Arial"/>
                <w:lang w:val="fr-FR"/>
              </w:rPr>
              <w:t xml:space="preserve"> </w:t>
            </w:r>
            <w:proofErr w:type="spellStart"/>
            <w:r w:rsidRPr="00281A4D">
              <w:rPr>
                <w:rFonts w:cs="Arial"/>
                <w:lang w:val="fr-FR"/>
              </w:rPr>
              <w:t>fixed</w:t>
            </w:r>
            <w:proofErr w:type="spellEnd"/>
          </w:p>
        </w:tc>
        <w:tc>
          <w:tcPr>
            <w:tcW w:w="0" w:type="auto"/>
            <w:hideMark/>
          </w:tcPr>
          <w:p w14:paraId="02D890B7" w14:textId="77777777" w:rsidR="00281A4D" w:rsidRPr="00281A4D" w:rsidRDefault="00281A4D" w:rsidP="00281A4D">
            <w:pPr>
              <w:rPr>
                <w:rFonts w:cs="Arial"/>
                <w:lang w:val="fr-FR"/>
              </w:rPr>
            </w:pPr>
            <w:proofErr w:type="spellStart"/>
            <w:r w:rsidRPr="00281A4D">
              <w:rPr>
                <w:rFonts w:cs="Arial"/>
                <w:lang w:val="fr-FR"/>
              </w:rPr>
              <w:t>Slightly</w:t>
            </w:r>
            <w:proofErr w:type="spellEnd"/>
            <w:r w:rsidRPr="00281A4D">
              <w:rPr>
                <w:rFonts w:cs="Arial"/>
                <w:lang w:val="fr-FR"/>
              </w:rPr>
              <w:t xml:space="preserve"> moves</w:t>
            </w:r>
          </w:p>
        </w:tc>
        <w:tc>
          <w:tcPr>
            <w:tcW w:w="0" w:type="auto"/>
            <w:hideMark/>
          </w:tcPr>
          <w:p w14:paraId="493470B5" w14:textId="77777777" w:rsidR="00281A4D" w:rsidRPr="00281A4D" w:rsidRDefault="00281A4D" w:rsidP="00281A4D">
            <w:pPr>
              <w:rPr>
                <w:rFonts w:cs="Arial"/>
                <w:lang w:val="fr-FR"/>
              </w:rPr>
            </w:pPr>
            <w:r w:rsidRPr="00281A4D">
              <w:rPr>
                <w:rFonts w:cs="Arial"/>
                <w:lang w:val="fr-FR"/>
              </w:rPr>
              <w:t>LEO/MEO (</w:t>
            </w:r>
            <w:proofErr w:type="spellStart"/>
            <w:r w:rsidRPr="00281A4D">
              <w:rPr>
                <w:rFonts w:cs="Arial"/>
                <w:lang w:val="fr-FR"/>
              </w:rPr>
              <w:t>with</w:t>
            </w:r>
            <w:proofErr w:type="spellEnd"/>
            <w:r w:rsidRPr="00281A4D">
              <w:rPr>
                <w:rFonts w:cs="Arial"/>
                <w:lang w:val="fr-FR"/>
              </w:rPr>
              <w:t xml:space="preserve"> </w:t>
            </w:r>
            <w:proofErr w:type="spellStart"/>
            <w:r w:rsidRPr="00281A4D">
              <w:rPr>
                <w:rFonts w:cs="Arial"/>
                <w:lang w:val="fr-FR"/>
              </w:rPr>
              <w:t>tracking</w:t>
            </w:r>
            <w:proofErr w:type="spellEnd"/>
            <w:r w:rsidRPr="00281A4D">
              <w:rPr>
                <w:rFonts w:cs="Arial"/>
                <w:lang w:val="fr-FR"/>
              </w:rPr>
              <w:t>)</w:t>
            </w:r>
          </w:p>
        </w:tc>
      </w:tr>
      <w:tr w:rsidR="00281A4D" w:rsidRPr="00281A4D" w14:paraId="17B525EB" w14:textId="77777777" w:rsidTr="000504F5">
        <w:trPr>
          <w:jc w:val="center"/>
        </w:trPr>
        <w:tc>
          <w:tcPr>
            <w:tcW w:w="0" w:type="auto"/>
            <w:hideMark/>
          </w:tcPr>
          <w:p w14:paraId="26338F26" w14:textId="77777777" w:rsidR="00281A4D" w:rsidRPr="00281A4D" w:rsidRDefault="00281A4D" w:rsidP="00281A4D">
            <w:pPr>
              <w:rPr>
                <w:rFonts w:cs="Arial"/>
                <w:lang w:val="fr-FR"/>
              </w:rPr>
            </w:pPr>
            <w:proofErr w:type="spellStart"/>
            <w:r w:rsidRPr="00281A4D">
              <w:rPr>
                <w:rFonts w:cs="Arial"/>
                <w:lang w:val="fr-FR"/>
              </w:rPr>
              <w:t>Earth</w:t>
            </w:r>
            <w:proofErr w:type="spellEnd"/>
            <w:r w:rsidRPr="00281A4D">
              <w:rPr>
                <w:rFonts w:cs="Arial"/>
                <w:lang w:val="fr-FR"/>
              </w:rPr>
              <w:t xml:space="preserve"> </w:t>
            </w:r>
            <w:proofErr w:type="spellStart"/>
            <w:r w:rsidRPr="00281A4D">
              <w:rPr>
                <w:rFonts w:cs="Arial"/>
                <w:lang w:val="fr-FR"/>
              </w:rPr>
              <w:t>moving</w:t>
            </w:r>
            <w:proofErr w:type="spellEnd"/>
          </w:p>
        </w:tc>
        <w:tc>
          <w:tcPr>
            <w:tcW w:w="0" w:type="auto"/>
            <w:hideMark/>
          </w:tcPr>
          <w:p w14:paraId="23076DDD" w14:textId="77777777" w:rsidR="00281A4D" w:rsidRPr="00281A4D" w:rsidRDefault="00281A4D" w:rsidP="00281A4D">
            <w:pPr>
              <w:rPr>
                <w:rFonts w:cs="Arial"/>
                <w:lang w:val="fr-FR"/>
              </w:rPr>
            </w:pPr>
            <w:proofErr w:type="spellStart"/>
            <w:r w:rsidRPr="00281A4D">
              <w:rPr>
                <w:rFonts w:cs="Arial"/>
                <w:lang w:val="fr-FR"/>
              </w:rPr>
              <w:t>Continuously</w:t>
            </w:r>
            <w:proofErr w:type="spellEnd"/>
            <w:r w:rsidRPr="00281A4D">
              <w:rPr>
                <w:rFonts w:cs="Arial"/>
                <w:lang w:val="fr-FR"/>
              </w:rPr>
              <w:t xml:space="preserve"> changes place</w:t>
            </w:r>
          </w:p>
        </w:tc>
        <w:tc>
          <w:tcPr>
            <w:tcW w:w="0" w:type="auto"/>
            <w:hideMark/>
          </w:tcPr>
          <w:p w14:paraId="6F0E6E94" w14:textId="77777777" w:rsidR="00281A4D" w:rsidRPr="00281A4D" w:rsidRDefault="00281A4D" w:rsidP="00281A4D">
            <w:pPr>
              <w:rPr>
                <w:rFonts w:cs="Arial"/>
                <w:lang w:val="fr-FR"/>
              </w:rPr>
            </w:pPr>
            <w:r w:rsidRPr="00281A4D">
              <w:rPr>
                <w:rFonts w:cs="Arial"/>
                <w:lang w:val="fr-FR"/>
              </w:rPr>
              <w:t>LEO/MEO</w:t>
            </w:r>
          </w:p>
        </w:tc>
      </w:tr>
      <w:tr w:rsidR="00281A4D" w:rsidRPr="00281A4D" w14:paraId="4751A3F7" w14:textId="77777777" w:rsidTr="000504F5">
        <w:trPr>
          <w:jc w:val="center"/>
        </w:trPr>
        <w:tc>
          <w:tcPr>
            <w:tcW w:w="0" w:type="auto"/>
            <w:hideMark/>
          </w:tcPr>
          <w:p w14:paraId="1B7C6F7B" w14:textId="77777777" w:rsidR="00281A4D" w:rsidRPr="00281A4D" w:rsidRDefault="00281A4D" w:rsidP="00281A4D">
            <w:pPr>
              <w:rPr>
                <w:rFonts w:cs="Arial"/>
                <w:lang w:val="fr-FR"/>
              </w:rPr>
            </w:pPr>
            <w:proofErr w:type="spellStart"/>
            <w:r w:rsidRPr="00281A4D">
              <w:rPr>
                <w:rFonts w:cs="Arial"/>
                <w:lang w:val="fr-FR"/>
              </w:rPr>
              <w:t>Earth</w:t>
            </w:r>
            <w:proofErr w:type="spellEnd"/>
            <w:r w:rsidRPr="00281A4D">
              <w:rPr>
                <w:rFonts w:cs="Arial"/>
                <w:lang w:val="fr-FR"/>
              </w:rPr>
              <w:t xml:space="preserve"> </w:t>
            </w:r>
            <w:proofErr w:type="spellStart"/>
            <w:r w:rsidRPr="00281A4D">
              <w:rPr>
                <w:rFonts w:cs="Arial"/>
                <w:lang w:val="fr-FR"/>
              </w:rPr>
              <w:t>fixed</w:t>
            </w:r>
            <w:proofErr w:type="spellEnd"/>
          </w:p>
        </w:tc>
        <w:tc>
          <w:tcPr>
            <w:tcW w:w="0" w:type="auto"/>
            <w:hideMark/>
          </w:tcPr>
          <w:p w14:paraId="0FCD83A0" w14:textId="77777777" w:rsidR="00281A4D" w:rsidRPr="00281A4D" w:rsidRDefault="00281A4D" w:rsidP="00281A4D">
            <w:pPr>
              <w:rPr>
                <w:rFonts w:cs="Arial"/>
                <w:lang w:val="fr-FR"/>
              </w:rPr>
            </w:pPr>
            <w:proofErr w:type="spellStart"/>
            <w:r w:rsidRPr="00281A4D">
              <w:rPr>
                <w:rFonts w:cs="Arial"/>
                <w:lang w:val="fr-FR"/>
              </w:rPr>
              <w:t>Stays</w:t>
            </w:r>
            <w:proofErr w:type="spellEnd"/>
            <w:r w:rsidRPr="00281A4D">
              <w:rPr>
                <w:rFonts w:cs="Arial"/>
                <w:lang w:val="fr-FR"/>
              </w:rPr>
              <w:t xml:space="preserve"> over </w:t>
            </w:r>
            <w:proofErr w:type="spellStart"/>
            <w:r w:rsidRPr="00281A4D">
              <w:rPr>
                <w:rFonts w:cs="Arial"/>
                <w:lang w:val="fr-FR"/>
              </w:rPr>
              <w:t>same</w:t>
            </w:r>
            <w:proofErr w:type="spellEnd"/>
            <w:r w:rsidRPr="00281A4D">
              <w:rPr>
                <w:rFonts w:cs="Arial"/>
                <w:lang w:val="fr-FR"/>
              </w:rPr>
              <w:t xml:space="preserve"> location</w:t>
            </w:r>
          </w:p>
        </w:tc>
        <w:tc>
          <w:tcPr>
            <w:tcW w:w="0" w:type="auto"/>
            <w:hideMark/>
          </w:tcPr>
          <w:p w14:paraId="5A3F3E9B" w14:textId="77777777" w:rsidR="00281A4D" w:rsidRPr="00281A4D" w:rsidRDefault="00281A4D" w:rsidP="00281A4D">
            <w:pPr>
              <w:rPr>
                <w:rFonts w:cs="Arial"/>
                <w:lang w:val="fr-FR"/>
              </w:rPr>
            </w:pPr>
            <w:r w:rsidRPr="00281A4D">
              <w:rPr>
                <w:rFonts w:cs="Arial"/>
                <w:lang w:val="fr-FR"/>
              </w:rPr>
              <w:t>GEO</w:t>
            </w:r>
          </w:p>
        </w:tc>
      </w:tr>
    </w:tbl>
    <w:p w14:paraId="08C367C1" w14:textId="49CAC2D7" w:rsidR="00D55F3B" w:rsidRDefault="00D55F3B" w:rsidP="002C0792">
      <w:pPr>
        <w:rPr>
          <w:rFonts w:cs="Arial"/>
        </w:rPr>
      </w:pPr>
    </w:p>
    <w:p w14:paraId="6BA6EE27" w14:textId="7842B242" w:rsidR="00D55F3B" w:rsidRDefault="00D55F3B" w:rsidP="00D55F3B">
      <w:pPr>
        <w:pStyle w:val="Titre3"/>
      </w:pPr>
      <w:r>
        <w:t>2.2.3</w:t>
      </w:r>
      <w:r>
        <w:tab/>
        <w:t xml:space="preserve">NTN Scenarios </w:t>
      </w:r>
    </w:p>
    <w:p w14:paraId="0F4D162D" w14:textId="7D2ED58C" w:rsidR="002C0792" w:rsidRDefault="002C0792" w:rsidP="002C0792">
      <w:pPr>
        <w:rPr>
          <w:rFonts w:cs="Arial"/>
        </w:rPr>
      </w:pPr>
      <w:r w:rsidRPr="00BF1F0E">
        <w:rPr>
          <w:rFonts w:cs="Arial"/>
        </w:rPr>
        <w:t>The table below provides the list of reference practical scenarios (single orbit) to be supported by the 6G radio acce</w:t>
      </w:r>
      <w:r w:rsidR="009D7CE4">
        <w:rPr>
          <w:rFonts w:cs="Arial"/>
        </w:rPr>
        <w:t>ss with the related parameters:</w:t>
      </w:r>
    </w:p>
    <w:p w14:paraId="72AA9E80" w14:textId="7BCBE864" w:rsidR="000F5EBD" w:rsidRDefault="000F5EBD" w:rsidP="000F5EBD">
      <w:pPr>
        <w:pStyle w:val="Lgende"/>
        <w:keepNext/>
        <w:jc w:val="center"/>
      </w:pPr>
      <w:r>
        <w:lastRenderedPageBreak/>
        <w:t xml:space="preserve">Table 2 </w:t>
      </w:r>
      <w:r w:rsidRPr="00715F95">
        <w:t xml:space="preserve">practical scenarios </w:t>
      </w:r>
      <w:r>
        <w:t>and their characteristics</w:t>
      </w:r>
    </w:p>
    <w:tbl>
      <w:tblPr>
        <w:tblStyle w:val="Grilledutableau"/>
        <w:tblW w:w="0" w:type="auto"/>
        <w:tblLook w:val="04A0" w:firstRow="1" w:lastRow="0" w:firstColumn="1" w:lastColumn="0" w:noHBand="0" w:noVBand="1"/>
      </w:tblPr>
      <w:tblGrid>
        <w:gridCol w:w="2412"/>
        <w:gridCol w:w="1170"/>
        <w:gridCol w:w="1170"/>
        <w:gridCol w:w="1170"/>
        <w:gridCol w:w="998"/>
        <w:gridCol w:w="2709"/>
      </w:tblGrid>
      <w:tr w:rsidR="009D7CE4" w:rsidRPr="00B92A56" w14:paraId="3364F2BB" w14:textId="77777777" w:rsidTr="000504F5">
        <w:trPr>
          <w:trHeight w:val="422"/>
        </w:trPr>
        <w:tc>
          <w:tcPr>
            <w:tcW w:w="0" w:type="auto"/>
            <w:hideMark/>
          </w:tcPr>
          <w:p w14:paraId="30058FD5" w14:textId="77777777" w:rsidR="009D7CE4" w:rsidRPr="00B92A56" w:rsidRDefault="009D7CE4" w:rsidP="00E2142D">
            <w:pPr>
              <w:pStyle w:val="TAH"/>
              <w:rPr>
                <w:rFonts w:ascii="Times New Roman" w:hAnsi="Times New Roman"/>
                <w:sz w:val="20"/>
                <w:lang w:val="en-US"/>
              </w:rPr>
            </w:pPr>
            <w:r>
              <w:rPr>
                <w:rFonts w:ascii="Times New Roman" w:hAnsi="Times New Roman"/>
                <w:sz w:val="20"/>
                <w:lang w:val="en-US"/>
              </w:rPr>
              <w:t xml:space="preserve">NTN </w:t>
            </w:r>
            <w:r w:rsidRPr="00B92A56">
              <w:rPr>
                <w:rFonts w:ascii="Times New Roman" w:hAnsi="Times New Roman"/>
                <w:sz w:val="20"/>
                <w:lang w:val="en-US"/>
              </w:rPr>
              <w:t>Scenarios</w:t>
            </w:r>
          </w:p>
        </w:tc>
        <w:tc>
          <w:tcPr>
            <w:tcW w:w="0" w:type="auto"/>
          </w:tcPr>
          <w:p w14:paraId="606BA4E3" w14:textId="77777777" w:rsidR="009D7CE4" w:rsidRPr="00B92A56" w:rsidRDefault="009D7CE4" w:rsidP="00E2142D">
            <w:pPr>
              <w:pStyle w:val="TAH"/>
              <w:rPr>
                <w:rFonts w:ascii="Times New Roman" w:hAnsi="Times New Roman"/>
                <w:bCs/>
                <w:sz w:val="20"/>
                <w:lang w:val="en-US"/>
              </w:rPr>
            </w:pPr>
            <w:r w:rsidRPr="00B92A56">
              <w:rPr>
                <w:rFonts w:ascii="Times New Roman" w:hAnsi="Times New Roman"/>
                <w:sz w:val="20"/>
                <w:lang w:val="en-US"/>
              </w:rPr>
              <w:t xml:space="preserve">Very LEO </w:t>
            </w:r>
          </w:p>
        </w:tc>
        <w:tc>
          <w:tcPr>
            <w:tcW w:w="0" w:type="auto"/>
          </w:tcPr>
          <w:p w14:paraId="1CA16F62" w14:textId="77777777" w:rsidR="009D7CE4" w:rsidRPr="00B92A56" w:rsidRDefault="009D7CE4" w:rsidP="00E2142D">
            <w:pPr>
              <w:pStyle w:val="TAH"/>
              <w:rPr>
                <w:rFonts w:ascii="Times New Roman" w:hAnsi="Times New Roman"/>
                <w:bCs/>
                <w:sz w:val="20"/>
                <w:lang w:val="en-US"/>
              </w:rPr>
            </w:pPr>
            <w:r w:rsidRPr="00B92A56">
              <w:rPr>
                <w:rFonts w:ascii="Times New Roman" w:hAnsi="Times New Roman"/>
                <w:sz w:val="20"/>
                <w:lang w:val="en-US"/>
              </w:rPr>
              <w:t>LEO</w:t>
            </w:r>
            <w:r>
              <w:rPr>
                <w:rFonts w:ascii="Times New Roman" w:hAnsi="Times New Roman"/>
                <w:sz w:val="20"/>
                <w:lang w:val="en-US"/>
              </w:rPr>
              <w:t>-600</w:t>
            </w:r>
          </w:p>
        </w:tc>
        <w:tc>
          <w:tcPr>
            <w:tcW w:w="0" w:type="auto"/>
            <w:hideMark/>
          </w:tcPr>
          <w:p w14:paraId="783AD10C" w14:textId="77777777" w:rsidR="009D7CE4" w:rsidRPr="00B92A56" w:rsidRDefault="009D7CE4" w:rsidP="00E2142D">
            <w:pPr>
              <w:pStyle w:val="TAH"/>
              <w:rPr>
                <w:rFonts w:ascii="Times New Roman" w:hAnsi="Times New Roman"/>
                <w:bCs/>
                <w:sz w:val="20"/>
                <w:lang w:val="en-US"/>
              </w:rPr>
            </w:pPr>
            <w:r w:rsidRPr="00B92A56">
              <w:rPr>
                <w:rFonts w:ascii="Times New Roman" w:hAnsi="Times New Roman"/>
                <w:sz w:val="20"/>
                <w:lang w:val="en-US"/>
              </w:rPr>
              <w:t>LEO</w:t>
            </w:r>
            <w:r>
              <w:rPr>
                <w:rFonts w:ascii="Times New Roman" w:hAnsi="Times New Roman"/>
                <w:sz w:val="20"/>
                <w:lang w:val="en-US"/>
              </w:rPr>
              <w:t>-1200</w:t>
            </w:r>
          </w:p>
        </w:tc>
        <w:tc>
          <w:tcPr>
            <w:tcW w:w="0" w:type="auto"/>
          </w:tcPr>
          <w:p w14:paraId="0372C062" w14:textId="77777777" w:rsidR="009D7CE4" w:rsidRPr="00B92A56" w:rsidRDefault="009D7CE4" w:rsidP="00E2142D">
            <w:pPr>
              <w:pStyle w:val="TAH"/>
              <w:rPr>
                <w:rFonts w:ascii="Times New Roman" w:hAnsi="Times New Roman"/>
                <w:bCs/>
                <w:sz w:val="20"/>
                <w:lang w:val="en-US"/>
              </w:rPr>
            </w:pPr>
            <w:r w:rsidRPr="00B92A56">
              <w:rPr>
                <w:rFonts w:ascii="Times New Roman" w:hAnsi="Times New Roman"/>
                <w:sz w:val="20"/>
                <w:lang w:val="en-US"/>
              </w:rPr>
              <w:t>MEO</w:t>
            </w:r>
          </w:p>
        </w:tc>
        <w:tc>
          <w:tcPr>
            <w:tcW w:w="0" w:type="auto"/>
          </w:tcPr>
          <w:p w14:paraId="644B2F5D" w14:textId="77777777" w:rsidR="009D7CE4" w:rsidRPr="00B92A56" w:rsidRDefault="009D7CE4" w:rsidP="00E2142D">
            <w:pPr>
              <w:pStyle w:val="TAH"/>
              <w:rPr>
                <w:rFonts w:ascii="Times New Roman" w:hAnsi="Times New Roman"/>
                <w:bCs/>
                <w:sz w:val="20"/>
                <w:lang w:val="en-US"/>
              </w:rPr>
            </w:pPr>
            <w:r w:rsidRPr="00B92A56">
              <w:rPr>
                <w:rFonts w:ascii="Times New Roman" w:hAnsi="Times New Roman"/>
                <w:sz w:val="20"/>
                <w:lang w:val="en-US"/>
              </w:rPr>
              <w:t>GS</w:t>
            </w:r>
            <w:r>
              <w:rPr>
                <w:rFonts w:ascii="Times New Roman" w:hAnsi="Times New Roman"/>
                <w:sz w:val="20"/>
                <w:lang w:val="en-US"/>
              </w:rPr>
              <w:t>O</w:t>
            </w:r>
          </w:p>
        </w:tc>
      </w:tr>
      <w:tr w:rsidR="009D7CE4" w:rsidRPr="0077382F" w14:paraId="23A83B0D" w14:textId="77777777" w:rsidTr="000504F5">
        <w:trPr>
          <w:trHeight w:val="422"/>
        </w:trPr>
        <w:tc>
          <w:tcPr>
            <w:tcW w:w="0" w:type="auto"/>
            <w:hideMark/>
          </w:tcPr>
          <w:p w14:paraId="42C0B1A5"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Orbit type</w:t>
            </w:r>
          </w:p>
        </w:tc>
        <w:tc>
          <w:tcPr>
            <w:tcW w:w="0" w:type="auto"/>
          </w:tcPr>
          <w:p w14:paraId="756BEC3E"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tcPr>
          <w:p w14:paraId="4852F68B"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hideMark/>
          </w:tcPr>
          <w:p w14:paraId="31C8FB41"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tcPr>
          <w:p w14:paraId="065BAE67"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tcPr>
          <w:p w14:paraId="063E6B54"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station keeping around a nominally fixed position in terms of elevation/azimuth with respect to a given earth point (NOTE 6)</w:t>
            </w:r>
          </w:p>
        </w:tc>
      </w:tr>
      <w:tr w:rsidR="009D7CE4" w:rsidRPr="00B92A56" w14:paraId="0223B6B7" w14:textId="77777777" w:rsidTr="000504F5">
        <w:trPr>
          <w:trHeight w:val="531"/>
        </w:trPr>
        <w:tc>
          <w:tcPr>
            <w:tcW w:w="0" w:type="auto"/>
            <w:hideMark/>
          </w:tcPr>
          <w:p w14:paraId="07EE2AC8"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Altitude</w:t>
            </w:r>
          </w:p>
        </w:tc>
        <w:tc>
          <w:tcPr>
            <w:tcW w:w="0" w:type="auto"/>
          </w:tcPr>
          <w:p w14:paraId="56EBF1F4" w14:textId="77777777" w:rsidR="009D7CE4" w:rsidRPr="00B92A56" w:rsidRDefault="009D7CE4" w:rsidP="00E2142D">
            <w:pPr>
              <w:pStyle w:val="TAL"/>
              <w:jc w:val="center"/>
              <w:rPr>
                <w:rFonts w:ascii="Times New Roman" w:hAnsi="Times New Roman"/>
                <w:sz w:val="20"/>
                <w:highlight w:val="yellow"/>
                <w:lang w:val="en-US"/>
              </w:rPr>
            </w:pPr>
            <w:r>
              <w:rPr>
                <w:rFonts w:cs="Arial"/>
                <w:lang w:eastAsia="zh-CN"/>
              </w:rPr>
              <w:t>300 km</w:t>
            </w:r>
            <w:r w:rsidRPr="00B92A56">
              <w:rPr>
                <w:rFonts w:ascii="Times New Roman" w:hAnsi="Times New Roman"/>
                <w:sz w:val="20"/>
                <w:lang w:val="en-US"/>
              </w:rPr>
              <w:t xml:space="preserve"> (NOTE 1)</w:t>
            </w:r>
          </w:p>
        </w:tc>
        <w:tc>
          <w:tcPr>
            <w:tcW w:w="0" w:type="auto"/>
          </w:tcPr>
          <w:p w14:paraId="34ADF96E"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600 km</w:t>
            </w:r>
          </w:p>
        </w:tc>
        <w:tc>
          <w:tcPr>
            <w:tcW w:w="0" w:type="auto"/>
            <w:hideMark/>
          </w:tcPr>
          <w:p w14:paraId="1146B7FF" w14:textId="36169AE1" w:rsidR="009D7CE4" w:rsidRPr="00B92A56" w:rsidRDefault="009D7CE4" w:rsidP="00E2142D">
            <w:pPr>
              <w:pStyle w:val="TAL"/>
              <w:rPr>
                <w:rFonts w:ascii="Times New Roman" w:hAnsi="Times New Roman"/>
                <w:sz w:val="20"/>
                <w:lang w:val="en-US"/>
              </w:rPr>
            </w:pPr>
            <w:r>
              <w:rPr>
                <w:rFonts w:ascii="Times New Roman" w:hAnsi="Times New Roman"/>
                <w:sz w:val="20"/>
                <w:lang w:val="en-US"/>
              </w:rPr>
              <w:t>1</w:t>
            </w:r>
            <w:r w:rsidR="000145D8">
              <w:rPr>
                <w:rFonts w:ascii="Times New Roman" w:hAnsi="Times New Roman"/>
                <w:sz w:val="20"/>
                <w:lang w:val="en-US"/>
              </w:rPr>
              <w:t>2</w:t>
            </w:r>
            <w:r>
              <w:rPr>
                <w:rFonts w:ascii="Times New Roman" w:hAnsi="Times New Roman"/>
                <w:sz w:val="20"/>
                <w:lang w:val="en-US"/>
              </w:rPr>
              <w:t>00</w:t>
            </w:r>
            <w:r w:rsidRPr="00B92A56">
              <w:rPr>
                <w:rFonts w:ascii="Times New Roman" w:hAnsi="Times New Roman"/>
                <w:sz w:val="20"/>
                <w:lang w:val="en-US"/>
              </w:rPr>
              <w:t xml:space="preserve"> km</w:t>
            </w:r>
          </w:p>
        </w:tc>
        <w:tc>
          <w:tcPr>
            <w:tcW w:w="0" w:type="auto"/>
          </w:tcPr>
          <w:p w14:paraId="610D6C9B" w14:textId="77777777" w:rsidR="009D7CE4" w:rsidRPr="00B92A56" w:rsidRDefault="009D7CE4" w:rsidP="00E2142D">
            <w:pPr>
              <w:pStyle w:val="TAL"/>
              <w:jc w:val="center"/>
              <w:rPr>
                <w:rFonts w:ascii="Times New Roman" w:hAnsi="Times New Roman"/>
                <w:sz w:val="20"/>
                <w:lang w:val="en-US"/>
              </w:rPr>
            </w:pPr>
            <w:r>
              <w:rPr>
                <w:rFonts w:cs="Arial"/>
                <w:lang w:eastAsia="zh-CN"/>
              </w:rPr>
              <w:t>2000 to ~</w:t>
            </w:r>
            <w:r w:rsidRPr="00630149">
              <w:rPr>
                <w:rFonts w:cs="Arial"/>
                <w:lang w:eastAsia="zh-CN"/>
              </w:rPr>
              <w:t>3</w:t>
            </w:r>
            <w:r>
              <w:rPr>
                <w:rFonts w:cs="Arial"/>
                <w:lang w:eastAsia="zh-CN"/>
              </w:rPr>
              <w:t>5000 km</w:t>
            </w:r>
          </w:p>
        </w:tc>
        <w:tc>
          <w:tcPr>
            <w:tcW w:w="0" w:type="auto"/>
          </w:tcPr>
          <w:p w14:paraId="5B0C4E46"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35,786 km</w:t>
            </w:r>
          </w:p>
        </w:tc>
      </w:tr>
      <w:tr w:rsidR="009D7CE4" w:rsidRPr="0077382F" w14:paraId="43E7FFD2" w14:textId="77777777" w:rsidTr="000504F5">
        <w:trPr>
          <w:trHeight w:val="478"/>
        </w:trPr>
        <w:tc>
          <w:tcPr>
            <w:tcW w:w="0" w:type="auto"/>
            <w:hideMark/>
          </w:tcPr>
          <w:p w14:paraId="2F253172"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Earth-fixed beams</w:t>
            </w:r>
          </w:p>
        </w:tc>
        <w:tc>
          <w:tcPr>
            <w:tcW w:w="0" w:type="auto"/>
            <w:gridSpan w:val="5"/>
          </w:tcPr>
          <w:p w14:paraId="40E6A747"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Yes (Satellite generated steerable beams, NOTE 2)</w:t>
            </w:r>
          </w:p>
          <w:p w14:paraId="6BAC167F" w14:textId="77777777" w:rsidR="009D7CE4" w:rsidRPr="00B92A56" w:rsidRDefault="009D7CE4" w:rsidP="00E2142D">
            <w:pPr>
              <w:pStyle w:val="TAL"/>
              <w:jc w:val="center"/>
              <w:rPr>
                <w:rFonts w:ascii="Times New Roman" w:hAnsi="Times New Roman"/>
                <w:sz w:val="20"/>
                <w:lang w:val="en-US"/>
              </w:rPr>
            </w:pPr>
          </w:p>
        </w:tc>
      </w:tr>
      <w:tr w:rsidR="009D7CE4" w:rsidRPr="00B92A56" w14:paraId="1E19C763" w14:textId="77777777" w:rsidTr="000504F5">
        <w:trPr>
          <w:trHeight w:val="768"/>
        </w:trPr>
        <w:tc>
          <w:tcPr>
            <w:tcW w:w="0" w:type="auto"/>
            <w:hideMark/>
          </w:tcPr>
          <w:p w14:paraId="364DF488"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Max beam footprint size (edge to edge) regardless of the elevation angle</w:t>
            </w:r>
            <w:r w:rsidRPr="00715802">
              <w:rPr>
                <w:rFonts w:ascii="Times New Roman" w:hAnsi="Times New Roman"/>
                <w:sz w:val="20"/>
                <w:lang w:val="en-US"/>
              </w:rPr>
              <w:t xml:space="preserve"> (NOTE 3)</w:t>
            </w:r>
          </w:p>
        </w:tc>
        <w:tc>
          <w:tcPr>
            <w:tcW w:w="0" w:type="auto"/>
          </w:tcPr>
          <w:p w14:paraId="67AAC5B1" w14:textId="77777777" w:rsidR="009D7CE4" w:rsidRPr="00B92A56" w:rsidRDefault="009D7CE4" w:rsidP="00E2142D">
            <w:pPr>
              <w:pStyle w:val="TAL"/>
              <w:rPr>
                <w:rFonts w:ascii="Times New Roman" w:hAnsi="Times New Roman"/>
                <w:sz w:val="20"/>
                <w:highlight w:val="yellow"/>
                <w:lang w:val="en-US"/>
              </w:rPr>
            </w:pPr>
            <w:r w:rsidRPr="00B92A56">
              <w:rPr>
                <w:rFonts w:ascii="Times New Roman" w:hAnsi="Times New Roman"/>
                <w:sz w:val="20"/>
                <w:lang w:val="en-US"/>
              </w:rPr>
              <w:t>[&lt;250] km</w:t>
            </w:r>
          </w:p>
        </w:tc>
        <w:tc>
          <w:tcPr>
            <w:tcW w:w="0" w:type="auto"/>
          </w:tcPr>
          <w:p w14:paraId="1D6F11A9"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[&lt;250] km</w:t>
            </w:r>
          </w:p>
        </w:tc>
        <w:tc>
          <w:tcPr>
            <w:tcW w:w="0" w:type="auto"/>
            <w:hideMark/>
          </w:tcPr>
          <w:p w14:paraId="49054B9F"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[&lt;250] km</w:t>
            </w:r>
          </w:p>
        </w:tc>
        <w:tc>
          <w:tcPr>
            <w:tcW w:w="0" w:type="auto"/>
          </w:tcPr>
          <w:p w14:paraId="6B32FAAF"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[&lt;250] km</w:t>
            </w:r>
          </w:p>
        </w:tc>
        <w:tc>
          <w:tcPr>
            <w:tcW w:w="0" w:type="auto"/>
          </w:tcPr>
          <w:p w14:paraId="1DC8094E"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[&lt;250] km</w:t>
            </w:r>
          </w:p>
        </w:tc>
      </w:tr>
      <w:tr w:rsidR="009D7CE4" w:rsidRPr="0077382F" w14:paraId="1D9FDA65" w14:textId="77777777" w:rsidTr="000504F5">
        <w:trPr>
          <w:trHeight w:val="422"/>
        </w:trPr>
        <w:tc>
          <w:tcPr>
            <w:tcW w:w="0" w:type="auto"/>
            <w:hideMark/>
          </w:tcPr>
          <w:p w14:paraId="5E02D078"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Min Elevation angle for both sat-gateway and User Equipment</w:t>
            </w:r>
          </w:p>
        </w:tc>
        <w:tc>
          <w:tcPr>
            <w:tcW w:w="0" w:type="auto"/>
            <w:gridSpan w:val="5"/>
          </w:tcPr>
          <w:p w14:paraId="2D046B94" w14:textId="77777777" w:rsidR="009D7CE4" w:rsidRPr="00B92A56" w:rsidRDefault="009D7CE4" w:rsidP="00E2142D">
            <w:pPr>
              <w:pStyle w:val="TAL"/>
              <w:jc w:val="center"/>
              <w:rPr>
                <w:rFonts w:ascii="Times New Roman" w:hAnsi="Times New Roman"/>
                <w:sz w:val="20"/>
                <w:lang w:val="en-US"/>
              </w:rPr>
            </w:pPr>
            <w:r w:rsidRPr="00D93C73">
              <w:rPr>
                <w:rFonts w:ascii="Times New Roman" w:hAnsi="Times New Roman"/>
                <w:sz w:val="20"/>
                <w:lang w:val="en-US"/>
              </w:rPr>
              <w:t>10°</w:t>
            </w:r>
            <w:r w:rsidRPr="00B92A56">
              <w:rPr>
                <w:rFonts w:ascii="Times New Roman" w:hAnsi="Times New Roman"/>
                <w:sz w:val="20"/>
                <w:lang w:val="en-US"/>
              </w:rPr>
              <w:t xml:space="preserve"> for service link and 10° for feeder link</w:t>
            </w:r>
          </w:p>
        </w:tc>
      </w:tr>
      <w:tr w:rsidR="009D7CE4" w:rsidRPr="00B92A56" w14:paraId="75BCD2A7" w14:textId="77777777" w:rsidTr="000504F5">
        <w:trPr>
          <w:trHeight w:val="713"/>
        </w:trPr>
        <w:tc>
          <w:tcPr>
            <w:tcW w:w="0" w:type="auto"/>
            <w:hideMark/>
          </w:tcPr>
          <w:p w14:paraId="188A0F10"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 xml:space="preserve">Max distance between satellite and User Equipment at min elevation angle </w:t>
            </w:r>
          </w:p>
        </w:tc>
        <w:tc>
          <w:tcPr>
            <w:tcW w:w="0" w:type="auto"/>
          </w:tcPr>
          <w:p w14:paraId="03709F66" w14:textId="77777777" w:rsidR="009D7CE4" w:rsidRPr="00A700F0" w:rsidRDefault="009D7CE4" w:rsidP="00E2142D">
            <w:pPr>
              <w:pStyle w:val="TAL"/>
              <w:jc w:val="center"/>
              <w:rPr>
                <w:rFonts w:ascii="Times New Roman" w:hAnsi="Times New Roman"/>
                <w:sz w:val="20"/>
                <w:lang w:val="da-DK"/>
              </w:rPr>
            </w:pPr>
            <w:r w:rsidRPr="00A700F0">
              <w:rPr>
                <w:rFonts w:ascii="Times New Roman" w:hAnsi="Times New Roman"/>
                <w:sz w:val="20"/>
                <w:lang w:val="da-DK"/>
              </w:rPr>
              <w:t>1160 km</w:t>
            </w:r>
          </w:p>
        </w:tc>
        <w:tc>
          <w:tcPr>
            <w:tcW w:w="0" w:type="auto"/>
          </w:tcPr>
          <w:p w14:paraId="129FC394" w14:textId="77777777" w:rsidR="009D7CE4" w:rsidRPr="00A700F0" w:rsidRDefault="009D7CE4" w:rsidP="00E2142D">
            <w:pPr>
              <w:pStyle w:val="TAL"/>
              <w:jc w:val="center"/>
              <w:rPr>
                <w:rFonts w:ascii="Times New Roman" w:hAnsi="Times New Roman"/>
                <w:sz w:val="20"/>
                <w:lang w:val="da-DK"/>
              </w:rPr>
            </w:pPr>
            <w:r w:rsidRPr="00A700F0">
              <w:rPr>
                <w:rFonts w:ascii="Times New Roman" w:hAnsi="Times New Roman"/>
                <w:sz w:val="20"/>
                <w:lang w:val="da-DK"/>
              </w:rPr>
              <w:t>1 932 km</w:t>
            </w:r>
          </w:p>
        </w:tc>
        <w:tc>
          <w:tcPr>
            <w:tcW w:w="0" w:type="auto"/>
            <w:hideMark/>
          </w:tcPr>
          <w:p w14:paraId="161ECF19"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da-DK"/>
              </w:rPr>
              <w:t>3 131 km</w:t>
            </w:r>
          </w:p>
        </w:tc>
        <w:tc>
          <w:tcPr>
            <w:tcW w:w="0" w:type="auto"/>
          </w:tcPr>
          <w:p w14:paraId="36FBACC0" w14:textId="77777777" w:rsidR="009D7CE4" w:rsidRPr="00A700F0" w:rsidRDefault="009D7CE4" w:rsidP="00E2142D">
            <w:pPr>
              <w:pStyle w:val="TAL"/>
              <w:jc w:val="center"/>
              <w:rPr>
                <w:rFonts w:ascii="Times New Roman" w:hAnsi="Times New Roman"/>
                <w:sz w:val="20"/>
                <w:lang w:val="da-DK"/>
              </w:rPr>
            </w:pPr>
            <w:r w:rsidRPr="00717A27">
              <w:rPr>
                <w:rFonts w:ascii="Times New Roman" w:hAnsi="Times New Roman"/>
                <w:sz w:val="20"/>
                <w:lang w:val="da-DK"/>
              </w:rPr>
              <w:t>TBD km</w:t>
            </w:r>
          </w:p>
        </w:tc>
        <w:tc>
          <w:tcPr>
            <w:tcW w:w="0" w:type="auto"/>
          </w:tcPr>
          <w:p w14:paraId="701F2434" w14:textId="77777777" w:rsidR="009D7CE4" w:rsidRPr="00B92A56" w:rsidRDefault="009D7CE4" w:rsidP="00E2142D">
            <w:pPr>
              <w:pStyle w:val="TAL"/>
              <w:jc w:val="center"/>
              <w:rPr>
                <w:rFonts w:ascii="Times New Roman" w:hAnsi="Times New Roman"/>
                <w:sz w:val="20"/>
                <w:lang w:val="da-DK"/>
              </w:rPr>
            </w:pPr>
            <w:r w:rsidRPr="00B92A56">
              <w:rPr>
                <w:rFonts w:ascii="Times New Roman" w:hAnsi="Times New Roman"/>
                <w:sz w:val="20"/>
                <w:lang w:val="da-DK"/>
              </w:rPr>
              <w:t>40 581 km</w:t>
            </w:r>
          </w:p>
        </w:tc>
      </w:tr>
      <w:tr w:rsidR="009D7CE4" w:rsidRPr="00B92A56" w14:paraId="34DE2E18" w14:textId="77777777" w:rsidTr="000504F5">
        <w:trPr>
          <w:trHeight w:val="808"/>
        </w:trPr>
        <w:tc>
          <w:tcPr>
            <w:tcW w:w="0" w:type="auto"/>
            <w:hideMark/>
          </w:tcPr>
          <w:p w14:paraId="67EA42EE"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 xml:space="preserve">Max Round Trip Delay (propagation delay only </w:t>
            </w:r>
            <w:r w:rsidRPr="00715802">
              <w:rPr>
                <w:rFonts w:ascii="Times New Roman" w:hAnsi="Times New Roman"/>
                <w:sz w:val="20"/>
                <w:lang w:val="en-US"/>
              </w:rPr>
              <w:t>NOTE 4</w:t>
            </w:r>
            <w:r w:rsidRPr="00B92A56">
              <w:rPr>
                <w:rFonts w:ascii="Times New Roman" w:hAnsi="Times New Roman"/>
                <w:sz w:val="20"/>
                <w:lang w:val="en-US"/>
              </w:rPr>
              <w:t xml:space="preserve">) </w:t>
            </w:r>
          </w:p>
        </w:tc>
        <w:tc>
          <w:tcPr>
            <w:tcW w:w="0" w:type="auto"/>
          </w:tcPr>
          <w:p w14:paraId="2116A4D1" w14:textId="77777777" w:rsidR="009D7CE4" w:rsidRPr="00A700F0" w:rsidRDefault="009D7CE4" w:rsidP="00E2142D">
            <w:pPr>
              <w:pStyle w:val="TAL"/>
              <w:jc w:val="center"/>
              <w:rPr>
                <w:rFonts w:ascii="Times New Roman" w:hAnsi="Times New Roman"/>
                <w:sz w:val="20"/>
                <w:lang w:val="en-US"/>
              </w:rPr>
            </w:pPr>
            <w:r>
              <w:rPr>
                <w:rFonts w:ascii="Times New Roman" w:hAnsi="Times New Roman"/>
                <w:sz w:val="20"/>
                <w:lang w:val="en-US"/>
              </w:rPr>
              <w:t xml:space="preserve">15.48 </w:t>
            </w:r>
            <w:proofErr w:type="spellStart"/>
            <w:r w:rsidRPr="00A700F0">
              <w:rPr>
                <w:rFonts w:ascii="Times New Roman" w:hAnsi="Times New Roman"/>
                <w:sz w:val="20"/>
                <w:lang w:val="en-US"/>
              </w:rPr>
              <w:t>ms</w:t>
            </w:r>
            <w:proofErr w:type="spellEnd"/>
          </w:p>
        </w:tc>
        <w:tc>
          <w:tcPr>
            <w:tcW w:w="0" w:type="auto"/>
          </w:tcPr>
          <w:p w14:paraId="7CBD9F2B"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 xml:space="preserve">25.77 </w:t>
            </w:r>
            <w:proofErr w:type="spellStart"/>
            <w:r w:rsidRPr="00A700F0">
              <w:rPr>
                <w:rFonts w:ascii="Times New Roman" w:hAnsi="Times New Roman"/>
                <w:sz w:val="20"/>
                <w:lang w:val="en-US"/>
              </w:rPr>
              <w:t>ms</w:t>
            </w:r>
            <w:proofErr w:type="spellEnd"/>
          </w:p>
        </w:tc>
        <w:tc>
          <w:tcPr>
            <w:tcW w:w="0" w:type="auto"/>
            <w:hideMark/>
          </w:tcPr>
          <w:p w14:paraId="11902C23"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 xml:space="preserve">41.77 </w:t>
            </w:r>
            <w:proofErr w:type="spellStart"/>
            <w:r w:rsidRPr="00A700F0">
              <w:rPr>
                <w:rFonts w:ascii="Times New Roman" w:hAnsi="Times New Roman"/>
                <w:sz w:val="20"/>
                <w:lang w:val="en-US"/>
              </w:rPr>
              <w:t>ms</w:t>
            </w:r>
            <w:proofErr w:type="spellEnd"/>
          </w:p>
        </w:tc>
        <w:tc>
          <w:tcPr>
            <w:tcW w:w="0" w:type="auto"/>
          </w:tcPr>
          <w:p w14:paraId="62F9E366"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 xml:space="preserve">180 </w:t>
            </w:r>
            <w:proofErr w:type="spellStart"/>
            <w:r w:rsidRPr="00A700F0">
              <w:rPr>
                <w:rFonts w:ascii="Times New Roman" w:hAnsi="Times New Roman"/>
                <w:sz w:val="20"/>
                <w:lang w:val="en-US"/>
              </w:rPr>
              <w:t>ms</w:t>
            </w:r>
            <w:proofErr w:type="spellEnd"/>
          </w:p>
        </w:tc>
        <w:tc>
          <w:tcPr>
            <w:tcW w:w="0" w:type="auto"/>
          </w:tcPr>
          <w:p w14:paraId="2795B219"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 xml:space="preserve">541.46 </w:t>
            </w:r>
            <w:proofErr w:type="spellStart"/>
            <w:r w:rsidRPr="00B92A56">
              <w:rPr>
                <w:rFonts w:ascii="Times New Roman" w:hAnsi="Times New Roman"/>
                <w:sz w:val="20"/>
                <w:lang w:val="en-US"/>
              </w:rPr>
              <w:t>ms</w:t>
            </w:r>
            <w:proofErr w:type="spellEnd"/>
          </w:p>
        </w:tc>
      </w:tr>
      <w:tr w:rsidR="009D7CE4" w:rsidRPr="00B92A56" w14:paraId="05CCB625" w14:textId="77777777" w:rsidTr="000504F5">
        <w:trPr>
          <w:trHeight w:val="296"/>
        </w:trPr>
        <w:tc>
          <w:tcPr>
            <w:tcW w:w="0" w:type="auto"/>
            <w:hideMark/>
          </w:tcPr>
          <w:p w14:paraId="4A9B0D5C"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Max Doppler shift (earth fixed user equipment) (</w:t>
            </w:r>
            <w:r w:rsidRPr="00715802">
              <w:rPr>
                <w:rFonts w:ascii="Times New Roman" w:hAnsi="Times New Roman"/>
                <w:sz w:val="20"/>
                <w:lang w:val="en-US"/>
              </w:rPr>
              <w:t>NOTE 5</w:t>
            </w:r>
            <w:r w:rsidRPr="00B92A56">
              <w:rPr>
                <w:rFonts w:ascii="Times New Roman" w:hAnsi="Times New Roman"/>
                <w:sz w:val="20"/>
                <w:lang w:val="en-US"/>
              </w:rPr>
              <w:t>)</w:t>
            </w:r>
          </w:p>
        </w:tc>
        <w:tc>
          <w:tcPr>
            <w:tcW w:w="0" w:type="auto"/>
          </w:tcPr>
          <w:p w14:paraId="395C5691" w14:textId="77777777" w:rsidR="009D7CE4" w:rsidRPr="00A700F0" w:rsidRDefault="009D7CE4" w:rsidP="00E2142D">
            <w:pPr>
              <w:pStyle w:val="TAL"/>
              <w:jc w:val="center"/>
              <w:rPr>
                <w:rFonts w:ascii="Times New Roman" w:hAnsi="Times New Roman"/>
                <w:sz w:val="20"/>
                <w:lang w:val="en-US"/>
              </w:rPr>
            </w:pPr>
            <w:r>
              <w:rPr>
                <w:rFonts w:ascii="Times New Roman" w:hAnsi="Times New Roman"/>
                <w:sz w:val="20"/>
                <w:lang w:val="en-US"/>
              </w:rPr>
              <w:t>24.23</w:t>
            </w:r>
            <w:r w:rsidRPr="00A700F0">
              <w:rPr>
                <w:rFonts w:ascii="Times New Roman" w:hAnsi="Times New Roman"/>
                <w:sz w:val="20"/>
                <w:lang w:val="en-US"/>
              </w:rPr>
              <w:t>ppm</w:t>
            </w:r>
          </w:p>
        </w:tc>
        <w:tc>
          <w:tcPr>
            <w:tcW w:w="0" w:type="auto"/>
          </w:tcPr>
          <w:p w14:paraId="2671D1D8"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2</w:t>
            </w:r>
            <w:r>
              <w:rPr>
                <w:rFonts w:ascii="Times New Roman" w:hAnsi="Times New Roman"/>
                <w:sz w:val="20"/>
                <w:lang w:val="en-US"/>
              </w:rPr>
              <w:t>2.68</w:t>
            </w:r>
            <w:r w:rsidRPr="00A700F0">
              <w:rPr>
                <w:rFonts w:ascii="Times New Roman" w:hAnsi="Times New Roman"/>
                <w:sz w:val="20"/>
                <w:lang w:val="en-US"/>
              </w:rPr>
              <w:t>ppm</w:t>
            </w:r>
          </w:p>
        </w:tc>
        <w:tc>
          <w:tcPr>
            <w:tcW w:w="0" w:type="auto"/>
            <w:hideMark/>
          </w:tcPr>
          <w:p w14:paraId="778C04C9" w14:textId="77777777" w:rsidR="009D7CE4" w:rsidRPr="00A700F0" w:rsidRDefault="009D7CE4" w:rsidP="00E2142D">
            <w:pPr>
              <w:pStyle w:val="TAL"/>
              <w:jc w:val="center"/>
              <w:rPr>
                <w:rFonts w:ascii="Times New Roman" w:hAnsi="Times New Roman"/>
                <w:sz w:val="20"/>
                <w:lang w:val="en-US"/>
              </w:rPr>
            </w:pPr>
            <w:r>
              <w:rPr>
                <w:rFonts w:ascii="Times New Roman" w:hAnsi="Times New Roman"/>
                <w:sz w:val="20"/>
                <w:lang w:val="en-US"/>
              </w:rPr>
              <w:t>20.04</w:t>
            </w:r>
            <w:r w:rsidRPr="00A700F0">
              <w:rPr>
                <w:rFonts w:ascii="Times New Roman" w:hAnsi="Times New Roman"/>
                <w:sz w:val="20"/>
                <w:lang w:val="en-US"/>
              </w:rPr>
              <w:t>ppm</w:t>
            </w:r>
          </w:p>
        </w:tc>
        <w:tc>
          <w:tcPr>
            <w:tcW w:w="0" w:type="auto"/>
          </w:tcPr>
          <w:p w14:paraId="51A0917F"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TBD ppm</w:t>
            </w:r>
          </w:p>
        </w:tc>
        <w:tc>
          <w:tcPr>
            <w:tcW w:w="0" w:type="auto"/>
          </w:tcPr>
          <w:p w14:paraId="17FAA65B"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0.93ppm</w:t>
            </w:r>
          </w:p>
        </w:tc>
      </w:tr>
      <w:tr w:rsidR="009D7CE4" w:rsidRPr="00B92A56" w14:paraId="54C032F7" w14:textId="77777777" w:rsidTr="000504F5">
        <w:trPr>
          <w:trHeight w:val="296"/>
        </w:trPr>
        <w:tc>
          <w:tcPr>
            <w:tcW w:w="0" w:type="auto"/>
            <w:hideMark/>
          </w:tcPr>
          <w:p w14:paraId="19746F0D"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Max Doppler shift variation (earth fixed user equipment) </w:t>
            </w:r>
            <w:r w:rsidRPr="00715802">
              <w:rPr>
                <w:rFonts w:ascii="Times New Roman" w:hAnsi="Times New Roman"/>
                <w:sz w:val="20"/>
                <w:lang w:val="en-US"/>
              </w:rPr>
              <w:t>(NOTE 4</w:t>
            </w:r>
            <w:r w:rsidRPr="00B92A56">
              <w:rPr>
                <w:rFonts w:ascii="Times New Roman" w:hAnsi="Times New Roman"/>
                <w:sz w:val="20"/>
                <w:lang w:val="en-US"/>
              </w:rPr>
              <w:t>)</w:t>
            </w:r>
          </w:p>
        </w:tc>
        <w:tc>
          <w:tcPr>
            <w:tcW w:w="0" w:type="auto"/>
          </w:tcPr>
          <w:p w14:paraId="22D515C0"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TBD ppm/s</w:t>
            </w:r>
          </w:p>
        </w:tc>
        <w:tc>
          <w:tcPr>
            <w:tcW w:w="0" w:type="auto"/>
          </w:tcPr>
          <w:p w14:paraId="63B019ED"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0.27 ppm/s</w:t>
            </w:r>
          </w:p>
        </w:tc>
        <w:tc>
          <w:tcPr>
            <w:tcW w:w="0" w:type="auto"/>
            <w:hideMark/>
          </w:tcPr>
          <w:p w14:paraId="75DF7542"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0.13 ppm/s</w:t>
            </w:r>
          </w:p>
        </w:tc>
        <w:tc>
          <w:tcPr>
            <w:tcW w:w="0" w:type="auto"/>
          </w:tcPr>
          <w:p w14:paraId="18A24EDA"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TBD ppm/s</w:t>
            </w:r>
          </w:p>
        </w:tc>
        <w:tc>
          <w:tcPr>
            <w:tcW w:w="0" w:type="auto"/>
          </w:tcPr>
          <w:p w14:paraId="25B7CE00"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0.000 045 ppm/s</w:t>
            </w:r>
          </w:p>
          <w:p w14:paraId="17669072" w14:textId="77777777" w:rsidR="009D7CE4" w:rsidRPr="00B92A56" w:rsidRDefault="009D7CE4" w:rsidP="00E2142D">
            <w:pPr>
              <w:jc w:val="center"/>
              <w:rPr>
                <w:lang w:eastAsia="en-GB"/>
              </w:rPr>
            </w:pPr>
          </w:p>
        </w:tc>
      </w:tr>
      <w:tr w:rsidR="009D7CE4" w:rsidRPr="0077382F" w14:paraId="1B507CB8" w14:textId="77777777" w:rsidTr="000504F5">
        <w:trPr>
          <w:trHeight w:val="296"/>
        </w:trPr>
        <w:tc>
          <w:tcPr>
            <w:tcW w:w="0" w:type="auto"/>
            <w:gridSpan w:val="6"/>
          </w:tcPr>
          <w:p w14:paraId="6C70077E" w14:textId="77777777" w:rsidR="009D7CE4" w:rsidRPr="00596F1D" w:rsidRDefault="009D7CE4" w:rsidP="00E2142D">
            <w:pPr>
              <w:pStyle w:val="TAN"/>
              <w:rPr>
                <w:rFonts w:ascii="Times New Roman" w:hAnsi="Times New Roman"/>
                <w:b/>
                <w:sz w:val="20"/>
                <w:lang w:val="en-US"/>
              </w:rPr>
            </w:pPr>
            <w:r w:rsidRPr="00596F1D">
              <w:rPr>
                <w:rFonts w:ascii="Times New Roman" w:hAnsi="Times New Roman"/>
                <w:sz w:val="20"/>
                <w:lang w:val="en-US"/>
              </w:rPr>
              <w:t>NOTE 1:     VLEO is characterized by altitudes ranging from approximately 300 to 600 kilometers above Earth. However, the lower the altitude, the higher the number of satellites is required to ensure service continuity and the higher the atmospheric drag which would need constant propulsion and re-boosting and hence reduced lifetime.</w:t>
            </w:r>
          </w:p>
          <w:p w14:paraId="20DC5DD8" w14:textId="77777777" w:rsidR="009D7CE4" w:rsidRPr="00596F1D" w:rsidRDefault="009D7CE4" w:rsidP="00E2142D">
            <w:pPr>
              <w:pStyle w:val="TAN"/>
              <w:rPr>
                <w:rFonts w:ascii="Times New Roman" w:hAnsi="Times New Roman"/>
                <w:b/>
                <w:sz w:val="20"/>
                <w:lang w:val="en-US"/>
              </w:rPr>
            </w:pPr>
            <w:r w:rsidRPr="00596F1D">
              <w:rPr>
                <w:rFonts w:ascii="Times New Roman" w:hAnsi="Times New Roman"/>
                <w:sz w:val="20"/>
                <w:lang w:val="en-US"/>
              </w:rPr>
              <w:t>NOTE 2:      Each satellite has the capability to steer beams towards fixed points on earth using beamforming techniques. This is applicable for a period of time corresponding to the visibility time of the satellite.</w:t>
            </w:r>
          </w:p>
          <w:p w14:paraId="4108DEB1" w14:textId="77777777" w:rsidR="009D7CE4" w:rsidRPr="00596F1D" w:rsidRDefault="009D7CE4" w:rsidP="00E2142D">
            <w:pPr>
              <w:pStyle w:val="TAL"/>
              <w:rPr>
                <w:rFonts w:ascii="Times New Roman" w:hAnsi="Times New Roman"/>
                <w:b/>
                <w:sz w:val="20"/>
                <w:lang w:val="en-US"/>
              </w:rPr>
            </w:pPr>
            <w:r w:rsidRPr="00596F1D">
              <w:rPr>
                <w:rFonts w:ascii="Times New Roman" w:hAnsi="Times New Roman"/>
                <w:sz w:val="20"/>
                <w:lang w:val="en-US"/>
              </w:rPr>
              <w:t>NOTE 3:     This beam size refers to the Nadir pointing of the satellite.</w:t>
            </w:r>
          </w:p>
          <w:p w14:paraId="0C540120" w14:textId="77777777" w:rsidR="009D7CE4" w:rsidRPr="00596F1D" w:rsidRDefault="009D7CE4" w:rsidP="00E2142D">
            <w:pPr>
              <w:pStyle w:val="TAL"/>
              <w:rPr>
                <w:rFonts w:ascii="Times New Roman" w:hAnsi="Times New Roman"/>
                <w:b/>
                <w:sz w:val="20"/>
                <w:lang w:val="en-US"/>
              </w:rPr>
            </w:pPr>
            <w:r w:rsidRPr="00596F1D">
              <w:rPr>
                <w:rFonts w:ascii="Times New Roman" w:hAnsi="Times New Roman"/>
                <w:sz w:val="20"/>
                <w:lang w:val="en-US"/>
              </w:rPr>
              <w:t>NOTE 4:     Assuming transparent payload with service and feeder links and return</w:t>
            </w:r>
          </w:p>
          <w:p w14:paraId="0DBBCD6B" w14:textId="77777777" w:rsidR="009D7CE4" w:rsidRPr="00596F1D" w:rsidRDefault="009D7CE4" w:rsidP="00E2142D">
            <w:pPr>
              <w:pStyle w:val="TAL"/>
              <w:rPr>
                <w:rFonts w:ascii="Times New Roman" w:hAnsi="Times New Roman"/>
                <w:b/>
                <w:sz w:val="20"/>
                <w:lang w:val="en-US"/>
              </w:rPr>
            </w:pPr>
            <w:r w:rsidRPr="00596F1D">
              <w:rPr>
                <w:rFonts w:ascii="Times New Roman" w:hAnsi="Times New Roman"/>
                <w:sz w:val="20"/>
                <w:lang w:val="en-US"/>
              </w:rPr>
              <w:t>NOTE 5:     Max Doppler shift and Max Doppler shift variation in the absence of any device pre-compensation of satellite Doppler shift on the service link.</w:t>
            </w:r>
          </w:p>
          <w:p w14:paraId="78C43C76" w14:textId="5E4ED8E9" w:rsidR="009D7CE4" w:rsidRPr="00B92A56" w:rsidRDefault="009D7CE4" w:rsidP="009F7AE0">
            <w:pPr>
              <w:pStyle w:val="TAL"/>
              <w:rPr>
                <w:rFonts w:ascii="Times New Roman" w:hAnsi="Times New Roman"/>
                <w:sz w:val="20"/>
                <w:lang w:val="en-US"/>
              </w:rPr>
            </w:pPr>
            <w:r w:rsidRPr="00596F1D">
              <w:rPr>
                <w:rFonts w:ascii="Times New Roman" w:hAnsi="Times New Roman"/>
                <w:sz w:val="20"/>
                <w:lang w:val="en-US"/>
              </w:rPr>
              <w:t>NOTE 6:       In case of GSO, the i</w:t>
            </w:r>
            <w:r w:rsidR="009F7AE0">
              <w:rPr>
                <w:rFonts w:ascii="Times New Roman" w:hAnsi="Times New Roman"/>
                <w:sz w:val="20"/>
                <w:lang w:val="en-US"/>
              </w:rPr>
              <w:t>nclination may be non-zero. Thi</w:t>
            </w:r>
            <w:r w:rsidR="009539A1">
              <w:rPr>
                <w:rFonts w:ascii="Times New Roman" w:hAnsi="Times New Roman"/>
                <w:sz w:val="20"/>
                <w:lang w:val="en-US"/>
              </w:rPr>
              <w:t>s</w:t>
            </w:r>
            <w:r w:rsidRPr="00596F1D">
              <w:rPr>
                <w:rFonts w:ascii="Times New Roman" w:hAnsi="Times New Roman"/>
                <w:sz w:val="20"/>
                <w:lang w:val="en-US"/>
              </w:rPr>
              <w:t xml:space="preserve"> means the satellite’s ground track may trace a figure-eight pattern as seen from Earth.</w:t>
            </w:r>
          </w:p>
        </w:tc>
      </w:tr>
    </w:tbl>
    <w:p w14:paraId="070B9D75" w14:textId="651A8B4B" w:rsidR="002C0792" w:rsidRDefault="002C0792" w:rsidP="003F64E4"/>
    <w:p w14:paraId="5BB6E027" w14:textId="03F3D0C7" w:rsidR="009D7CE4" w:rsidRPr="005B5442" w:rsidRDefault="009D7CE4" w:rsidP="005B5442">
      <w:pPr>
        <w:pStyle w:val="Titre3"/>
      </w:pPr>
      <w:r w:rsidRPr="005B5442">
        <w:t>2.</w:t>
      </w:r>
      <w:r w:rsidR="00D55F3B" w:rsidRPr="005B5442">
        <w:t>2.4</w:t>
      </w:r>
      <w:r w:rsidRPr="005B5442">
        <w:tab/>
        <w:t>Inter-Satellite Link support</w:t>
      </w:r>
    </w:p>
    <w:p w14:paraId="11C23141" w14:textId="7D5C35BE" w:rsidR="009D7CE4" w:rsidRPr="00BF1F0E" w:rsidRDefault="009D7CE4" w:rsidP="009D7CE4">
      <w:pPr>
        <w:rPr>
          <w:rFonts w:cs="Arial"/>
        </w:rPr>
      </w:pPr>
      <w:r w:rsidRPr="00BF1F0E">
        <w:rPr>
          <w:rFonts w:cs="Arial"/>
        </w:rPr>
        <w:t xml:space="preserve">Regenerative satellite payloads enable routable </w:t>
      </w:r>
      <w:proofErr w:type="spellStart"/>
      <w:r w:rsidRPr="00BF1F0E">
        <w:rPr>
          <w:rFonts w:cs="Arial"/>
        </w:rPr>
        <w:t>front</w:t>
      </w:r>
      <w:r w:rsidR="000145D8">
        <w:rPr>
          <w:rFonts w:cs="Arial"/>
        </w:rPr>
        <w:t>haul</w:t>
      </w:r>
      <w:proofErr w:type="spellEnd"/>
      <w:r w:rsidRPr="00BF1F0E">
        <w:rPr>
          <w:rFonts w:cs="Arial"/>
        </w:rPr>
        <w:t xml:space="preserve"> or backhaul traffic which can exploit Inter</w:t>
      </w:r>
      <w:r w:rsidR="000B2F99">
        <w:rPr>
          <w:rFonts w:cs="Arial"/>
        </w:rPr>
        <w:t>-</w:t>
      </w:r>
      <w:r w:rsidRPr="00BF1F0E">
        <w:rPr>
          <w:rFonts w:cs="Arial"/>
        </w:rPr>
        <w:t>satellite Links (ISLs) within the underlying transport network. ISLs can be deployed between two satellites of the same constellation (intra-/inter- orbital plane) or between two satellites of different constellations/orbits (e.g., between LEO and GSO satellites). ISL will allow to provide service in areas where there are no NTN-gateways and provide coverage of remote areas like the oceans. Inter-satellite links may operate in RF frequency or optical. The route taken between the GW and the satellite may thus change, adding or removing inter-satellite links to reach the GW.</w:t>
      </w:r>
    </w:p>
    <w:p w14:paraId="61E85278" w14:textId="322F56A9" w:rsidR="009D7CE4" w:rsidRPr="00BF1F0E" w:rsidRDefault="009D7CE4" w:rsidP="009D7CE4">
      <w:pPr>
        <w:rPr>
          <w:rFonts w:cs="Arial"/>
        </w:rPr>
      </w:pPr>
      <w:r w:rsidRPr="00BF1F0E">
        <w:rPr>
          <w:rFonts w:cs="Arial"/>
        </w:rPr>
        <w:t>Note that there are different types of inter satellite links:</w:t>
      </w:r>
    </w:p>
    <w:p w14:paraId="28B0A6DA" w14:textId="2253FC1F" w:rsidR="009D7CE4" w:rsidRPr="00BF1F0E" w:rsidRDefault="009D7CE4" w:rsidP="009D7CE4">
      <w:pPr>
        <w:pStyle w:val="Paragraphedeliste"/>
        <w:numPr>
          <w:ilvl w:val="0"/>
          <w:numId w:val="15"/>
        </w:numPr>
        <w:overflowPunct/>
        <w:autoSpaceDE/>
        <w:autoSpaceDN/>
        <w:adjustRightInd/>
        <w:spacing w:after="200" w:line="276" w:lineRule="auto"/>
        <w:contextualSpacing/>
        <w:textAlignment w:val="auto"/>
        <w:rPr>
          <w:rFonts w:ascii="Arial" w:hAnsi="Arial" w:cs="Arial"/>
          <w:sz w:val="20"/>
          <w:szCs w:val="20"/>
          <w:lang w:val="en-US"/>
        </w:rPr>
      </w:pPr>
      <w:r w:rsidRPr="00BF1F0E">
        <w:rPr>
          <w:rFonts w:ascii="Arial" w:hAnsi="Arial" w:cs="Arial"/>
          <w:sz w:val="20"/>
          <w:szCs w:val="20"/>
          <w:lang w:val="en-US"/>
        </w:rPr>
        <w:t>Between satellite of the same orbit which can further be distinguished between</w:t>
      </w:r>
    </w:p>
    <w:p w14:paraId="1BFDCA32" w14:textId="39310995" w:rsidR="009D7CE4" w:rsidRPr="00BF1F0E" w:rsidRDefault="009D7CE4" w:rsidP="009D7CE4">
      <w:pPr>
        <w:pStyle w:val="Paragraphedeliste"/>
        <w:numPr>
          <w:ilvl w:val="1"/>
          <w:numId w:val="16"/>
        </w:numPr>
        <w:overflowPunct/>
        <w:autoSpaceDE/>
        <w:autoSpaceDN/>
        <w:adjustRightInd/>
        <w:spacing w:after="200" w:line="276" w:lineRule="auto"/>
        <w:contextualSpacing/>
        <w:textAlignment w:val="auto"/>
        <w:rPr>
          <w:rFonts w:ascii="Arial" w:hAnsi="Arial" w:cs="Arial"/>
          <w:sz w:val="20"/>
          <w:szCs w:val="20"/>
          <w:lang w:val="en-US"/>
        </w:rPr>
      </w:pPr>
      <w:r w:rsidRPr="00BF1F0E">
        <w:rPr>
          <w:rFonts w:ascii="Arial" w:hAnsi="Arial" w:cs="Arial"/>
          <w:sz w:val="20"/>
          <w:szCs w:val="20"/>
          <w:lang w:val="en-US"/>
        </w:rPr>
        <w:t>Intra</w:t>
      </w:r>
      <w:r>
        <w:rPr>
          <w:rFonts w:ascii="Arial" w:hAnsi="Arial" w:cs="Arial"/>
          <w:sz w:val="20"/>
          <w:szCs w:val="20"/>
          <w:lang w:val="en-US"/>
        </w:rPr>
        <w:t>-plane</w:t>
      </w:r>
      <w:r w:rsidRPr="00BF1F0E">
        <w:rPr>
          <w:rFonts w:ascii="Arial" w:hAnsi="Arial" w:cs="Arial"/>
          <w:sz w:val="20"/>
          <w:szCs w:val="20"/>
          <w:lang w:val="en-US"/>
        </w:rPr>
        <w:t xml:space="preserve"> ISL: between (adjacent) satellites of the same orbital plane</w:t>
      </w:r>
    </w:p>
    <w:p w14:paraId="7242A133" w14:textId="6BAD8B7A" w:rsidR="009D7CE4" w:rsidRPr="00BF1F0E" w:rsidRDefault="009D7CE4" w:rsidP="009D7CE4">
      <w:pPr>
        <w:pStyle w:val="Paragraphedeliste"/>
        <w:numPr>
          <w:ilvl w:val="1"/>
          <w:numId w:val="16"/>
        </w:numPr>
        <w:overflowPunct/>
        <w:autoSpaceDE/>
        <w:autoSpaceDN/>
        <w:adjustRightInd/>
        <w:spacing w:after="200" w:line="276" w:lineRule="auto"/>
        <w:contextualSpacing/>
        <w:textAlignment w:val="auto"/>
        <w:rPr>
          <w:rFonts w:ascii="Arial" w:hAnsi="Arial" w:cs="Arial"/>
          <w:sz w:val="20"/>
          <w:szCs w:val="20"/>
          <w:lang w:val="en-US"/>
        </w:rPr>
      </w:pPr>
      <w:r w:rsidRPr="00BF1F0E">
        <w:rPr>
          <w:rFonts w:ascii="Arial" w:hAnsi="Arial" w:cs="Arial"/>
          <w:sz w:val="20"/>
          <w:szCs w:val="20"/>
          <w:lang w:val="en-US"/>
        </w:rPr>
        <w:lastRenderedPageBreak/>
        <w:t>Inter</w:t>
      </w:r>
      <w:r>
        <w:rPr>
          <w:rFonts w:ascii="Arial" w:hAnsi="Arial" w:cs="Arial"/>
          <w:sz w:val="20"/>
          <w:szCs w:val="20"/>
          <w:lang w:val="en-US"/>
        </w:rPr>
        <w:t>-plane</w:t>
      </w:r>
      <w:r w:rsidRPr="00BF1F0E">
        <w:rPr>
          <w:rFonts w:ascii="Arial" w:hAnsi="Arial" w:cs="Arial"/>
          <w:sz w:val="20"/>
          <w:szCs w:val="20"/>
          <w:lang w:val="en-US"/>
        </w:rPr>
        <w:t xml:space="preserve"> ISL: between satellites of (adjacent) orbital planes</w:t>
      </w:r>
    </w:p>
    <w:p w14:paraId="012F14D9" w14:textId="23211115" w:rsidR="009D7CE4" w:rsidRDefault="009D7CE4" w:rsidP="009D7CE4">
      <w:pPr>
        <w:pStyle w:val="Paragraphedeliste"/>
        <w:numPr>
          <w:ilvl w:val="0"/>
          <w:numId w:val="15"/>
        </w:numPr>
        <w:overflowPunct/>
        <w:autoSpaceDE/>
        <w:autoSpaceDN/>
        <w:adjustRightInd/>
        <w:spacing w:after="200" w:line="276" w:lineRule="auto"/>
        <w:contextualSpacing/>
        <w:textAlignment w:val="auto"/>
        <w:rPr>
          <w:rFonts w:ascii="Arial" w:hAnsi="Arial" w:cs="Arial"/>
          <w:sz w:val="20"/>
          <w:szCs w:val="20"/>
          <w:lang w:val="en-US"/>
        </w:rPr>
      </w:pPr>
      <w:r w:rsidRPr="00BF1F0E">
        <w:rPr>
          <w:rFonts w:ascii="Arial" w:hAnsi="Arial" w:cs="Arial"/>
          <w:sz w:val="20"/>
          <w:szCs w:val="20"/>
          <w:lang w:val="en-US"/>
        </w:rPr>
        <w:t>Between satellites of different orbits (e.g., GSO and NGSO, or LEO and MEO)</w:t>
      </w:r>
    </w:p>
    <w:p w14:paraId="09AE15AD" w14:textId="59D7E578" w:rsidR="0053252A" w:rsidRPr="002F4ECB" w:rsidRDefault="0053252A" w:rsidP="0053252A">
      <w:pPr>
        <w:pStyle w:val="Proposal"/>
      </w:pPr>
      <w:r>
        <w:t>Study the support of Inter-Satellite Links between satellites in the definition of the 6G architecture</w:t>
      </w:r>
      <w:r w:rsidR="000145D8">
        <w:t>. The Inter Satellite Link can be between any type of satellite (NGSO-NGSO or GSO-GSO or NGSO-GSO)</w:t>
      </w:r>
    </w:p>
    <w:p w14:paraId="0475E687" w14:textId="77777777" w:rsidR="007A7990" w:rsidRPr="00092FFB" w:rsidRDefault="007A7990" w:rsidP="003F64E4"/>
    <w:p w14:paraId="34BEDB2D" w14:textId="47633301" w:rsidR="006D3285" w:rsidRPr="005B5442" w:rsidRDefault="00CC505A" w:rsidP="005B5442">
      <w:pPr>
        <w:pStyle w:val="Titre3"/>
      </w:pPr>
      <w:r w:rsidRPr="005B5442">
        <w:t>2.</w:t>
      </w:r>
      <w:r w:rsidR="00D55F3B" w:rsidRPr="005B5442">
        <w:t>2.5</w:t>
      </w:r>
      <w:r w:rsidRPr="005B5442">
        <w:tab/>
        <w:t>Multi-orbit architecture</w:t>
      </w:r>
    </w:p>
    <w:p w14:paraId="0FCB5E48" w14:textId="24A156E2" w:rsidR="009E5A29" w:rsidRPr="009E5A29" w:rsidRDefault="009E5A29" w:rsidP="009E5A29">
      <w:pPr>
        <w:rPr>
          <w:rFonts w:cs="Arial"/>
        </w:rPr>
      </w:pPr>
      <w:r w:rsidRPr="009E5A29">
        <w:rPr>
          <w:rFonts w:cs="Arial"/>
        </w:rPr>
        <w:t xml:space="preserve">Multi-Orbit NTN solutions are becoming vital for </w:t>
      </w:r>
      <w:r>
        <w:rPr>
          <w:rFonts w:cs="Arial"/>
        </w:rPr>
        <w:t xml:space="preserve">satellite </w:t>
      </w:r>
      <w:r w:rsidRPr="009E5A29">
        <w:rPr>
          <w:rFonts w:cs="Arial"/>
        </w:rPr>
        <w:t xml:space="preserve">operators managing both NGSO and GSO constellations. This approach allows for </w:t>
      </w:r>
      <w:r>
        <w:rPr>
          <w:rFonts w:cs="Arial"/>
        </w:rPr>
        <w:t xml:space="preserve">novel data routing, </w:t>
      </w:r>
      <w:r w:rsidR="000145D8">
        <w:rPr>
          <w:rFonts w:cs="Arial"/>
        </w:rPr>
        <w:t xml:space="preserve">thus </w:t>
      </w:r>
      <w:r w:rsidRPr="009E5A29">
        <w:rPr>
          <w:rFonts w:cs="Arial"/>
        </w:rPr>
        <w:t>applications demanding minimal latency are sent over LEO satellites, while those less sensitive to delay utilize GEO satellites, resulting i</w:t>
      </w:r>
      <w:r>
        <w:rPr>
          <w:rFonts w:cs="Arial"/>
        </w:rPr>
        <w:t>n efficient traffic management.</w:t>
      </w:r>
      <w:r w:rsidR="003D1B95">
        <w:rPr>
          <w:rFonts w:cs="Arial"/>
        </w:rPr>
        <w:t xml:space="preserve"> </w:t>
      </w:r>
      <w:r w:rsidRPr="009E5A29">
        <w:rPr>
          <w:rFonts w:cs="Arial"/>
        </w:rPr>
        <w:t xml:space="preserve">Moreover, adopting a multi-orbit strategy </w:t>
      </w:r>
      <w:r>
        <w:rPr>
          <w:rFonts w:cs="Arial"/>
        </w:rPr>
        <w:t>enhances</w:t>
      </w:r>
      <w:r w:rsidRPr="009E5A29">
        <w:rPr>
          <w:rFonts w:cs="Arial"/>
        </w:rPr>
        <w:t xml:space="preserve"> service reliability by </w:t>
      </w:r>
      <w:r>
        <w:rPr>
          <w:rFonts w:cs="Arial"/>
        </w:rPr>
        <w:t xml:space="preserve">for example </w:t>
      </w:r>
      <w:r w:rsidRPr="009E5A29">
        <w:rPr>
          <w:rFonts w:cs="Arial"/>
        </w:rPr>
        <w:t xml:space="preserve">enabling fallback </w:t>
      </w:r>
      <w:r>
        <w:rPr>
          <w:rFonts w:cs="Arial"/>
        </w:rPr>
        <w:t xml:space="preserve">options using legacy satellites. </w:t>
      </w:r>
      <w:r w:rsidRPr="009E5A29">
        <w:rPr>
          <w:rFonts w:cs="Arial"/>
        </w:rPr>
        <w:t>If one satellite experiences issues, the system swiftly redirects services through another</w:t>
      </w:r>
      <w:r>
        <w:rPr>
          <w:rFonts w:cs="Arial"/>
        </w:rPr>
        <w:t xml:space="preserve"> one</w:t>
      </w:r>
      <w:r w:rsidRPr="009E5A29">
        <w:rPr>
          <w:rFonts w:cs="Arial"/>
        </w:rPr>
        <w:t xml:space="preserve">, ensuring </w:t>
      </w:r>
      <w:r>
        <w:rPr>
          <w:rFonts w:cs="Arial"/>
        </w:rPr>
        <w:t>service continuity.</w:t>
      </w:r>
    </w:p>
    <w:p w14:paraId="1F39ADE7" w14:textId="3EA263A7" w:rsidR="009E5A29" w:rsidRPr="009E5A29" w:rsidRDefault="009E5A29" w:rsidP="009E5A29">
      <w:pPr>
        <w:rPr>
          <w:rFonts w:cs="Arial"/>
        </w:rPr>
      </w:pPr>
      <w:r w:rsidRPr="009E5A29">
        <w:rPr>
          <w:rFonts w:cs="Arial"/>
        </w:rPr>
        <w:t xml:space="preserve">The Multi-Orbit NTN solution also introduces relay and backhaul possibilities, especially </w:t>
      </w:r>
      <w:r w:rsidR="002D23D7">
        <w:rPr>
          <w:rFonts w:cs="Arial"/>
        </w:rPr>
        <w:t>on</w:t>
      </w:r>
      <w:r w:rsidR="002D23D7" w:rsidRPr="009E5A29">
        <w:rPr>
          <w:rFonts w:cs="Arial"/>
        </w:rPr>
        <w:t xml:space="preserve"> </w:t>
      </w:r>
      <w:r w:rsidRPr="009E5A29">
        <w:rPr>
          <w:rFonts w:cs="Arial"/>
        </w:rPr>
        <w:t>LEO satellites for Direct-to-Device scenarios. Previous developments in NTN-TN cooperation offer a foundation to further expand multi-orbit connectivity via new signaling processes and poten</w:t>
      </w:r>
      <w:r>
        <w:rPr>
          <w:rFonts w:cs="Arial"/>
        </w:rPr>
        <w:t>tially new control information.</w:t>
      </w:r>
    </w:p>
    <w:p w14:paraId="4BF363E8" w14:textId="6A9A1303" w:rsidR="009E5A29" w:rsidRPr="0069218F" w:rsidRDefault="003D1B95" w:rsidP="009E5A29">
      <w:pPr>
        <w:rPr>
          <w:rFonts w:cs="Arial"/>
        </w:rPr>
      </w:pPr>
      <w:r>
        <w:rPr>
          <w:rFonts w:cs="Arial"/>
        </w:rPr>
        <w:t>The</w:t>
      </w:r>
      <w:r w:rsidR="009E5A29" w:rsidRPr="009E5A29">
        <w:rPr>
          <w:rFonts w:cs="Arial"/>
        </w:rPr>
        <w:t xml:space="preserve"> </w:t>
      </w:r>
      <w:r>
        <w:rPr>
          <w:rFonts w:cs="Arial"/>
        </w:rPr>
        <w:t>overall</w:t>
      </w:r>
      <w:r w:rsidR="009E5A29" w:rsidRPr="009E5A29">
        <w:rPr>
          <w:rFonts w:cs="Arial"/>
        </w:rPr>
        <w:t xml:space="preserve"> perspective should focus on architectural upgrades, allowing operators to fully leverage the advantages of multi-orbit NTN connectivity</w:t>
      </w:r>
      <w:r>
        <w:rPr>
          <w:rFonts w:cs="Arial"/>
        </w:rPr>
        <w:t>, and study possible updates on mobility mechanisms already existing for NTN-NTN communications if they could be extended or/and enhanced for the multi-orbit mobility especially between GSO and NGSO satellites</w:t>
      </w:r>
      <w:r w:rsidR="009E5A29" w:rsidRPr="009E5A29">
        <w:rPr>
          <w:rFonts w:cs="Arial"/>
        </w:rPr>
        <w:t>.</w:t>
      </w:r>
    </w:p>
    <w:p w14:paraId="325A825E" w14:textId="05814CCA" w:rsidR="00F12081" w:rsidRDefault="00F12081" w:rsidP="00F12081">
      <w:pPr>
        <w:pStyle w:val="Proposal"/>
      </w:pPr>
      <w:r>
        <w:t>Study the support of mobility between NGSO satellites and between GSO/NGSO satellites in the design of the 6G architecture and</w:t>
      </w:r>
      <w:r w:rsidRPr="0069218F">
        <w:t xml:space="preserve"> </w:t>
      </w:r>
      <w:r>
        <w:t xml:space="preserve">radio protocol </w:t>
      </w:r>
    </w:p>
    <w:p w14:paraId="4C6B978E" w14:textId="77777777" w:rsidR="003D1B95" w:rsidRPr="0069218F" w:rsidRDefault="003D1B95" w:rsidP="003D1B95">
      <w:pPr>
        <w:pStyle w:val="Proposal"/>
        <w:numPr>
          <w:ilvl w:val="0"/>
          <w:numId w:val="0"/>
        </w:numPr>
      </w:pPr>
    </w:p>
    <w:p w14:paraId="30293D72" w14:textId="66B22E43" w:rsidR="009D7CE4" w:rsidRPr="00CC4375" w:rsidRDefault="00D55F3B" w:rsidP="00CC4375">
      <w:pPr>
        <w:pStyle w:val="Titre2"/>
        <w:rPr>
          <w:lang w:val="en-US"/>
        </w:rPr>
      </w:pPr>
      <w:r>
        <w:t>2.3</w:t>
      </w:r>
      <w:r>
        <w:tab/>
      </w:r>
      <w:r w:rsidR="00940708">
        <w:t>6G RAN internal functional split and interfaces for NTN</w:t>
      </w:r>
    </w:p>
    <w:p w14:paraId="5E80FD78" w14:textId="501C70D5" w:rsidR="00940708" w:rsidRPr="00D55F3B" w:rsidRDefault="00940708" w:rsidP="00D55F3B">
      <w:pPr>
        <w:contextualSpacing/>
        <w:jc w:val="left"/>
        <w:rPr>
          <w:rFonts w:ascii="Times New Roman" w:eastAsia="SimSun" w:hAnsi="Times New Roman"/>
        </w:rPr>
      </w:pPr>
    </w:p>
    <w:p w14:paraId="179CB692" w14:textId="77777777" w:rsidR="00940708" w:rsidRPr="00913D49" w:rsidRDefault="00940708" w:rsidP="00940708">
      <w:pPr>
        <w:contextualSpacing/>
        <w:jc w:val="left"/>
        <w:rPr>
          <w:rFonts w:cs="Arial"/>
        </w:rPr>
      </w:pPr>
      <w:r w:rsidRPr="00913D49">
        <w:rPr>
          <w:rFonts w:cs="Arial"/>
        </w:rPr>
        <w:t>The split architecture, initially developed for 5G networks, segments the radio access network into a centralized unit (CU) responsible for higher-layer processing and core network connectivity and a distributed unit (DU), which handles lower-layer radio functions. This separation, coupled via the F1 interface, offers significant deployment flexibility, especially advantageous in the NTN (Non-Terrestrial Network) context where satellites and ground stations can host different network functions.</w:t>
      </w:r>
    </w:p>
    <w:p w14:paraId="59369996" w14:textId="77777777" w:rsidR="00940708" w:rsidRPr="00913D49" w:rsidRDefault="00940708" w:rsidP="00940708">
      <w:pPr>
        <w:contextualSpacing/>
        <w:jc w:val="left"/>
        <w:rPr>
          <w:rFonts w:cs="Arial"/>
        </w:rPr>
      </w:pPr>
    </w:p>
    <w:p w14:paraId="00D0ADB5" w14:textId="6F81D0BD" w:rsidR="00940708" w:rsidRPr="00913D49" w:rsidRDefault="00940708" w:rsidP="00940708">
      <w:pPr>
        <w:contextualSpacing/>
        <w:jc w:val="left"/>
        <w:rPr>
          <w:rFonts w:cs="Arial"/>
        </w:rPr>
      </w:pPr>
      <w:r w:rsidRPr="00913D49">
        <w:rPr>
          <w:rFonts w:cs="Arial"/>
        </w:rPr>
        <w:t xml:space="preserve">We </w:t>
      </w:r>
      <w:r w:rsidR="00D55F3B" w:rsidRPr="00913D49">
        <w:rPr>
          <w:rFonts w:cs="Arial"/>
        </w:rPr>
        <w:t>discussed in R3-</w:t>
      </w:r>
      <w:r w:rsidR="00797257" w:rsidRPr="00797257">
        <w:rPr>
          <w:rFonts w:cs="Arial"/>
        </w:rPr>
        <w:t xml:space="preserve">258565 </w:t>
      </w:r>
      <w:r w:rsidR="00D55F3B" w:rsidRPr="00913D49">
        <w:rPr>
          <w:rFonts w:cs="Arial"/>
        </w:rPr>
        <w:t>[</w:t>
      </w:r>
      <w:r w:rsidR="00C773AD">
        <w:rPr>
          <w:rFonts w:cs="Arial"/>
        </w:rPr>
        <w:t>5</w:t>
      </w:r>
      <w:r w:rsidR="00F80D53">
        <w:rPr>
          <w:rFonts w:cs="Arial"/>
        </w:rPr>
        <w:t>]</w:t>
      </w:r>
      <w:r w:rsidRPr="00913D49">
        <w:rPr>
          <w:rFonts w:cs="Arial"/>
        </w:rPr>
        <w:t xml:space="preserve"> multiple split scenarios for NTN, with each model distributing the RAN functions differently between the ground and space segments. These architectural options range from scenarios where only the radio unit (RU) is on the satellite with processing centralized on the ground, to more complex configurations where even part of the core network and edge computing can be deployed onboard satellites. Each scenario comes with its own performance, latency, energy, and implementation constraints, and targets different service types such as direct-to-device, broadband data, or critical low latency communication.</w:t>
      </w:r>
    </w:p>
    <w:p w14:paraId="765F0FA6" w14:textId="568BCDFE" w:rsidR="00F80D53" w:rsidRPr="00170713" w:rsidRDefault="00F80D53" w:rsidP="00170713">
      <w:r>
        <w:rPr>
          <w:rFonts w:cs="Arial"/>
        </w:rPr>
        <w:t>S</w:t>
      </w:r>
      <w:r>
        <w:t xml:space="preserve">upporting base station split architecture for NTN offers several significant benefits and deployment options. Some deployment scenarios are described on the table </w:t>
      </w:r>
      <w:r w:rsidR="000F5EBD">
        <w:t>below:</w:t>
      </w:r>
    </w:p>
    <w:p w14:paraId="272CE9E0" w14:textId="77777777" w:rsidR="00F80D53" w:rsidRDefault="00F80D53" w:rsidP="00940708">
      <w:pPr>
        <w:contextualSpacing/>
        <w:jc w:val="left"/>
        <w:rPr>
          <w:rFonts w:cs="Arial"/>
        </w:rPr>
      </w:pPr>
    </w:p>
    <w:p w14:paraId="03FA311A" w14:textId="701512BC" w:rsidR="000F5EBD" w:rsidRDefault="000F5EBD" w:rsidP="000F5EBD">
      <w:pPr>
        <w:pStyle w:val="Lgende"/>
        <w:keepNext/>
        <w:jc w:val="center"/>
      </w:pPr>
      <w:r>
        <w:t>Table 3 Deployment scenarios options for NTN architecture</w:t>
      </w:r>
    </w:p>
    <w:tbl>
      <w:tblPr>
        <w:tblStyle w:val="TableauGrille1Clair"/>
        <w:tblW w:w="0" w:type="auto"/>
        <w:tblLook w:val="04A0" w:firstRow="1" w:lastRow="0" w:firstColumn="1" w:lastColumn="0" w:noHBand="0" w:noVBand="1"/>
      </w:tblPr>
      <w:tblGrid>
        <w:gridCol w:w="1146"/>
        <w:gridCol w:w="1558"/>
        <w:gridCol w:w="1558"/>
        <w:gridCol w:w="2595"/>
        <w:gridCol w:w="2772"/>
      </w:tblGrid>
      <w:tr w:rsidR="00F80D53" w14:paraId="337A52BC" w14:textId="77777777" w:rsidTr="000F5E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6" w:type="dxa"/>
          </w:tcPr>
          <w:p w14:paraId="1F947E60" w14:textId="49781B83" w:rsidR="00F80D53" w:rsidRPr="00A61F74" w:rsidRDefault="00170713" w:rsidP="00D165DB">
            <w:pPr>
              <w:rPr>
                <w:rFonts w:cs="Arial"/>
                <w:lang w:val="de-DE"/>
              </w:rPr>
            </w:pPr>
            <w:r w:rsidRPr="00A61F74">
              <w:rPr>
                <w:rFonts w:cs="Arial"/>
                <w:lang w:val="de-DE"/>
              </w:rPr>
              <w:t>Scenario</w:t>
            </w:r>
          </w:p>
        </w:tc>
        <w:tc>
          <w:tcPr>
            <w:tcW w:w="1558" w:type="dxa"/>
            <w:hideMark/>
          </w:tcPr>
          <w:p w14:paraId="1EC0EE56" w14:textId="4341D13C" w:rsidR="00F80D53" w:rsidRPr="000F5EBD" w:rsidRDefault="00170713" w:rsidP="00D165DB">
            <w:pPr>
              <w:cnfStyle w:val="100000000000" w:firstRow="1" w:lastRow="0" w:firstColumn="0" w:lastColumn="0" w:oddVBand="0" w:evenVBand="0" w:oddHBand="0" w:evenHBand="0" w:firstRowFirstColumn="0" w:firstRowLastColumn="0" w:lastRowFirstColumn="0" w:lastRowLastColumn="0"/>
              <w:rPr>
                <w:rFonts w:cs="Arial"/>
                <w:lang w:val="de-DE"/>
              </w:rPr>
            </w:pPr>
            <w:r w:rsidRPr="000F5EBD">
              <w:rPr>
                <w:rFonts w:cs="Arial"/>
                <w:lang w:val="de-DE"/>
              </w:rPr>
              <w:t xml:space="preserve">On </w:t>
            </w:r>
            <w:proofErr w:type="spellStart"/>
            <w:r w:rsidRPr="000F5EBD">
              <w:rPr>
                <w:rFonts w:cs="Arial"/>
                <w:lang w:val="de-DE"/>
              </w:rPr>
              <w:t>board</w:t>
            </w:r>
            <w:proofErr w:type="spellEnd"/>
            <w:r w:rsidRPr="000F5EBD">
              <w:rPr>
                <w:rFonts w:cs="Arial"/>
                <w:lang w:val="de-DE"/>
              </w:rPr>
              <w:t xml:space="preserve"> </w:t>
            </w:r>
            <w:proofErr w:type="spellStart"/>
            <w:r w:rsidRPr="000F5EBD">
              <w:rPr>
                <w:rFonts w:cs="Arial"/>
                <w:lang w:val="de-DE"/>
              </w:rPr>
              <w:t>the</w:t>
            </w:r>
            <w:proofErr w:type="spellEnd"/>
            <w:r w:rsidRPr="000F5EBD">
              <w:rPr>
                <w:rFonts w:cs="Arial"/>
                <w:lang w:val="de-DE"/>
              </w:rPr>
              <w:t xml:space="preserve"> </w:t>
            </w:r>
            <w:proofErr w:type="spellStart"/>
            <w:r w:rsidRPr="000F5EBD">
              <w:rPr>
                <w:rFonts w:cs="Arial"/>
                <w:lang w:val="de-DE"/>
              </w:rPr>
              <w:t>satellite</w:t>
            </w:r>
            <w:proofErr w:type="spellEnd"/>
          </w:p>
        </w:tc>
        <w:tc>
          <w:tcPr>
            <w:tcW w:w="1558" w:type="dxa"/>
            <w:hideMark/>
          </w:tcPr>
          <w:p w14:paraId="6A841B54" w14:textId="77777777" w:rsidR="00F80D53" w:rsidRPr="000F5EBD" w:rsidRDefault="00F80D53" w:rsidP="00D165DB">
            <w:pPr>
              <w:cnfStyle w:val="100000000000" w:firstRow="1" w:lastRow="0" w:firstColumn="0" w:lastColumn="0" w:oddVBand="0" w:evenVBand="0" w:oddHBand="0" w:evenHBand="0" w:firstRowFirstColumn="0" w:firstRowLastColumn="0" w:lastRowFirstColumn="0" w:lastRowLastColumn="0"/>
              <w:rPr>
                <w:rFonts w:cs="Arial"/>
                <w:lang w:val="de-DE"/>
              </w:rPr>
            </w:pPr>
            <w:r w:rsidRPr="000F5EBD">
              <w:rPr>
                <w:rFonts w:cs="Arial"/>
                <w:lang w:val="de-DE"/>
              </w:rPr>
              <w:t xml:space="preserve">On </w:t>
            </w:r>
            <w:proofErr w:type="spellStart"/>
            <w:r w:rsidRPr="000F5EBD">
              <w:rPr>
                <w:rFonts w:cs="Arial"/>
                <w:lang w:val="de-DE"/>
              </w:rPr>
              <w:t>the</w:t>
            </w:r>
            <w:proofErr w:type="spellEnd"/>
            <w:r w:rsidRPr="000F5EBD">
              <w:rPr>
                <w:rFonts w:cs="Arial"/>
                <w:lang w:val="de-DE"/>
              </w:rPr>
              <w:t xml:space="preserve"> </w:t>
            </w:r>
            <w:proofErr w:type="spellStart"/>
            <w:r w:rsidRPr="000F5EBD">
              <w:rPr>
                <w:rFonts w:cs="Arial"/>
                <w:lang w:val="de-DE"/>
              </w:rPr>
              <w:t>ground</w:t>
            </w:r>
            <w:proofErr w:type="spellEnd"/>
          </w:p>
        </w:tc>
        <w:tc>
          <w:tcPr>
            <w:tcW w:w="2595" w:type="dxa"/>
          </w:tcPr>
          <w:p w14:paraId="6919474B" w14:textId="33DE8F32" w:rsidR="00F80D53" w:rsidRPr="00A61F74" w:rsidRDefault="00170713" w:rsidP="00D165DB">
            <w:pPr>
              <w:cnfStyle w:val="100000000000" w:firstRow="1" w:lastRow="0" w:firstColumn="0" w:lastColumn="0" w:oddVBand="0" w:evenVBand="0" w:oddHBand="0" w:evenHBand="0" w:firstRowFirstColumn="0" w:firstRowLastColumn="0" w:lastRowFirstColumn="0" w:lastRowLastColumn="0"/>
              <w:rPr>
                <w:rFonts w:cs="Arial"/>
                <w:lang w:val="de-DE"/>
              </w:rPr>
            </w:pPr>
            <w:proofErr w:type="spellStart"/>
            <w:r w:rsidRPr="00A61F74">
              <w:rPr>
                <w:rFonts w:cs="Arial"/>
                <w:lang w:val="de-DE"/>
              </w:rPr>
              <w:t>Benefits</w:t>
            </w:r>
            <w:proofErr w:type="spellEnd"/>
          </w:p>
        </w:tc>
        <w:tc>
          <w:tcPr>
            <w:tcW w:w="2772" w:type="dxa"/>
          </w:tcPr>
          <w:p w14:paraId="09D10A07" w14:textId="7878519E" w:rsidR="00F80D53" w:rsidRPr="00A61F74" w:rsidRDefault="00170713" w:rsidP="00D165DB">
            <w:pPr>
              <w:cnfStyle w:val="100000000000" w:firstRow="1" w:lastRow="0" w:firstColumn="0" w:lastColumn="0" w:oddVBand="0" w:evenVBand="0" w:oddHBand="0" w:evenHBand="0" w:firstRowFirstColumn="0" w:firstRowLastColumn="0" w:lastRowFirstColumn="0" w:lastRowLastColumn="0"/>
              <w:rPr>
                <w:rFonts w:cs="Arial"/>
                <w:lang w:val="de-DE"/>
              </w:rPr>
            </w:pPr>
            <w:proofErr w:type="spellStart"/>
            <w:r w:rsidRPr="00A61F74">
              <w:rPr>
                <w:rFonts w:cs="Arial"/>
                <w:lang w:val="de-DE"/>
              </w:rPr>
              <w:t>Constraints</w:t>
            </w:r>
            <w:proofErr w:type="spellEnd"/>
          </w:p>
        </w:tc>
      </w:tr>
      <w:tr w:rsidR="00F80D53" w:rsidRPr="00D165DB" w14:paraId="680D4551" w14:textId="77777777" w:rsidTr="000F5EBD">
        <w:tc>
          <w:tcPr>
            <w:cnfStyle w:val="001000000000" w:firstRow="0" w:lastRow="0" w:firstColumn="1" w:lastColumn="0" w:oddVBand="0" w:evenVBand="0" w:oddHBand="0" w:evenHBand="0" w:firstRowFirstColumn="0" w:firstRowLastColumn="0" w:lastRowFirstColumn="0" w:lastRowLastColumn="0"/>
            <w:tcW w:w="1146" w:type="dxa"/>
            <w:hideMark/>
          </w:tcPr>
          <w:p w14:paraId="76C4C5DE" w14:textId="77777777" w:rsidR="00F80D53" w:rsidRPr="00A61F74" w:rsidRDefault="00F80D53" w:rsidP="00D165DB">
            <w:pPr>
              <w:rPr>
                <w:rFonts w:cs="Arial"/>
                <w:lang w:val="de-DE"/>
              </w:rPr>
            </w:pPr>
            <w:r w:rsidRPr="0069218F">
              <w:rPr>
                <w:rFonts w:cs="Arial"/>
                <w:lang w:val="de-DE"/>
              </w:rPr>
              <w:t>(1)</w:t>
            </w:r>
          </w:p>
        </w:tc>
        <w:tc>
          <w:tcPr>
            <w:tcW w:w="1558" w:type="dxa"/>
            <w:hideMark/>
          </w:tcPr>
          <w:p w14:paraId="75E7D21A" w14:textId="77777777" w:rsidR="00F80D53" w:rsidRPr="00A61F74"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de-DE"/>
              </w:rPr>
            </w:pPr>
            <w:r w:rsidRPr="0069218F">
              <w:rPr>
                <w:rFonts w:cs="Arial"/>
                <w:lang w:val="de-DE"/>
              </w:rPr>
              <w:t>RU</w:t>
            </w:r>
          </w:p>
        </w:tc>
        <w:tc>
          <w:tcPr>
            <w:tcW w:w="1558" w:type="dxa"/>
            <w:hideMark/>
          </w:tcPr>
          <w:p w14:paraId="59742468" w14:textId="77777777" w:rsidR="00F80D53" w:rsidRPr="00A61F74"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de-DE"/>
              </w:rPr>
            </w:pPr>
            <w:r w:rsidRPr="0069218F">
              <w:rPr>
                <w:rFonts w:cs="Arial"/>
                <w:lang w:val="de-DE"/>
              </w:rPr>
              <w:t>DU + CU + Core Network</w:t>
            </w:r>
          </w:p>
        </w:tc>
        <w:tc>
          <w:tcPr>
            <w:tcW w:w="2595" w:type="dxa"/>
            <w:hideMark/>
          </w:tcPr>
          <w:p w14:paraId="57A59873" w14:textId="77777777" w:rsidR="00F80D53" w:rsidRPr="0083229F"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en-GB"/>
              </w:rPr>
            </w:pPr>
            <w:r w:rsidRPr="0083229F">
              <w:rPr>
                <w:rFonts w:cs="Arial"/>
                <w:lang w:val="en-GB"/>
              </w:rPr>
              <w:t>Reserve all the energy and computation resources to maximise the service link performances</w:t>
            </w:r>
          </w:p>
        </w:tc>
        <w:tc>
          <w:tcPr>
            <w:tcW w:w="2772" w:type="dxa"/>
            <w:hideMark/>
          </w:tcPr>
          <w:p w14:paraId="06D6587C" w14:textId="77777777" w:rsidR="00F80D53" w:rsidRPr="0083229F"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en-GB"/>
              </w:rPr>
            </w:pPr>
            <w:r w:rsidRPr="0083229F">
              <w:rPr>
                <w:rFonts w:cs="Arial"/>
                <w:lang w:val="en-GB"/>
              </w:rPr>
              <w:t>Potential stringent latency requirements and important throughput needed across the feeder/Inter Satellite links</w:t>
            </w:r>
          </w:p>
        </w:tc>
      </w:tr>
      <w:tr w:rsidR="00F80D53" w:rsidRPr="00D165DB" w14:paraId="7A5065A4" w14:textId="77777777" w:rsidTr="000F5EBD">
        <w:tc>
          <w:tcPr>
            <w:cnfStyle w:val="001000000000" w:firstRow="0" w:lastRow="0" w:firstColumn="1" w:lastColumn="0" w:oddVBand="0" w:evenVBand="0" w:oddHBand="0" w:evenHBand="0" w:firstRowFirstColumn="0" w:firstRowLastColumn="0" w:lastRowFirstColumn="0" w:lastRowLastColumn="0"/>
            <w:tcW w:w="1146" w:type="dxa"/>
            <w:hideMark/>
          </w:tcPr>
          <w:p w14:paraId="60291E13" w14:textId="77777777" w:rsidR="00F80D53" w:rsidRPr="00A61F74" w:rsidRDefault="00F80D53" w:rsidP="00D165DB">
            <w:pPr>
              <w:rPr>
                <w:rFonts w:cs="Arial"/>
                <w:lang w:val="de-DE"/>
              </w:rPr>
            </w:pPr>
            <w:r w:rsidRPr="0069218F">
              <w:rPr>
                <w:rFonts w:cs="Arial"/>
                <w:lang w:val="de-DE"/>
              </w:rPr>
              <w:lastRenderedPageBreak/>
              <w:t>(2)</w:t>
            </w:r>
          </w:p>
        </w:tc>
        <w:tc>
          <w:tcPr>
            <w:tcW w:w="1558" w:type="dxa"/>
            <w:hideMark/>
          </w:tcPr>
          <w:p w14:paraId="24739D17" w14:textId="636B9F9A" w:rsidR="00F80D53" w:rsidRPr="0083229F"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en-GB"/>
              </w:rPr>
            </w:pPr>
            <w:r w:rsidRPr="0083229F">
              <w:rPr>
                <w:rFonts w:cs="Arial"/>
                <w:lang w:val="en-GB"/>
              </w:rPr>
              <w:t xml:space="preserve">RU on one satellite DU and CU on </w:t>
            </w:r>
            <w:r w:rsidR="002D23D7" w:rsidRPr="0083229F">
              <w:rPr>
                <w:rFonts w:cs="Arial"/>
                <w:lang w:val="en-GB"/>
              </w:rPr>
              <w:t>a</w:t>
            </w:r>
            <w:r w:rsidR="002D23D7">
              <w:rPr>
                <w:rFonts w:cs="Arial"/>
                <w:lang w:val="en-GB"/>
              </w:rPr>
              <w:t xml:space="preserve"> different satellite</w:t>
            </w:r>
          </w:p>
        </w:tc>
        <w:tc>
          <w:tcPr>
            <w:tcW w:w="1558" w:type="dxa"/>
            <w:hideMark/>
          </w:tcPr>
          <w:p w14:paraId="025E3B33" w14:textId="77777777" w:rsidR="00F80D53" w:rsidRPr="00A61F74"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de-DE"/>
              </w:rPr>
            </w:pPr>
            <w:r w:rsidRPr="0069218F">
              <w:rPr>
                <w:rFonts w:cs="Arial"/>
                <w:lang w:val="de-DE"/>
              </w:rPr>
              <w:t xml:space="preserve">Core </w:t>
            </w:r>
            <w:proofErr w:type="spellStart"/>
            <w:r w:rsidRPr="0069218F">
              <w:rPr>
                <w:rFonts w:cs="Arial"/>
                <w:lang w:val="de-DE"/>
              </w:rPr>
              <w:t>network</w:t>
            </w:r>
            <w:proofErr w:type="spellEnd"/>
          </w:p>
        </w:tc>
        <w:tc>
          <w:tcPr>
            <w:tcW w:w="2595" w:type="dxa"/>
            <w:hideMark/>
          </w:tcPr>
          <w:p w14:paraId="7411BDB6" w14:textId="663A4511" w:rsidR="00F80D53" w:rsidRPr="0083229F"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en-GB"/>
              </w:rPr>
            </w:pPr>
            <w:r w:rsidRPr="0083229F">
              <w:rPr>
                <w:rFonts w:cs="Arial"/>
                <w:lang w:val="en-GB"/>
              </w:rPr>
              <w:t>Balance the computation and power requirements between</w:t>
            </w:r>
            <w:r w:rsidR="002D23D7">
              <w:rPr>
                <w:rFonts w:cs="Arial"/>
                <w:lang w:val="en-GB"/>
              </w:rPr>
              <w:t xml:space="preserve"> different</w:t>
            </w:r>
            <w:r w:rsidRPr="0083229F">
              <w:rPr>
                <w:rFonts w:cs="Arial"/>
                <w:lang w:val="en-GB"/>
              </w:rPr>
              <w:t xml:space="preserve"> satellites</w:t>
            </w:r>
          </w:p>
        </w:tc>
        <w:tc>
          <w:tcPr>
            <w:tcW w:w="2772" w:type="dxa"/>
            <w:hideMark/>
          </w:tcPr>
          <w:p w14:paraId="67A7D312" w14:textId="77777777" w:rsidR="00F80D53" w:rsidRPr="0083229F"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en-GB"/>
              </w:rPr>
            </w:pPr>
            <w:r w:rsidRPr="0083229F">
              <w:rPr>
                <w:rFonts w:cs="Arial"/>
                <w:lang w:val="en-GB"/>
              </w:rPr>
              <w:t>High interactions requirements (ISL based) between both types of satellites</w:t>
            </w:r>
          </w:p>
          <w:p w14:paraId="2C59564C" w14:textId="77777777" w:rsidR="00F80D53" w:rsidRPr="0083229F"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en-GB"/>
              </w:rPr>
            </w:pPr>
            <w:r w:rsidRPr="0083229F">
              <w:rPr>
                <w:rFonts w:cs="Arial"/>
                <w:lang w:val="en-GB"/>
              </w:rPr>
              <w:t>Potential high rate of RU and DU+CU association</w:t>
            </w:r>
          </w:p>
        </w:tc>
      </w:tr>
      <w:tr w:rsidR="00F80D53" w:rsidRPr="00D165DB" w14:paraId="35E5286D" w14:textId="77777777" w:rsidTr="000F5EBD">
        <w:tc>
          <w:tcPr>
            <w:cnfStyle w:val="001000000000" w:firstRow="0" w:lastRow="0" w:firstColumn="1" w:lastColumn="0" w:oddVBand="0" w:evenVBand="0" w:oddHBand="0" w:evenHBand="0" w:firstRowFirstColumn="0" w:firstRowLastColumn="0" w:lastRowFirstColumn="0" w:lastRowLastColumn="0"/>
            <w:tcW w:w="1146" w:type="dxa"/>
            <w:hideMark/>
          </w:tcPr>
          <w:p w14:paraId="79584214" w14:textId="77777777" w:rsidR="00F80D53" w:rsidRPr="00A61F74" w:rsidRDefault="00F80D53" w:rsidP="00D165DB">
            <w:pPr>
              <w:rPr>
                <w:rFonts w:cs="Arial"/>
                <w:lang w:val="de-DE"/>
              </w:rPr>
            </w:pPr>
            <w:r w:rsidRPr="0069218F">
              <w:rPr>
                <w:rFonts w:cs="Arial"/>
                <w:lang w:val="de-DE"/>
              </w:rPr>
              <w:t>(3)</w:t>
            </w:r>
          </w:p>
        </w:tc>
        <w:tc>
          <w:tcPr>
            <w:tcW w:w="1558" w:type="dxa"/>
            <w:hideMark/>
          </w:tcPr>
          <w:p w14:paraId="49EC030F" w14:textId="77777777" w:rsidR="00F80D53" w:rsidRPr="00A61F74"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de-DE"/>
              </w:rPr>
            </w:pPr>
            <w:r w:rsidRPr="0069218F">
              <w:rPr>
                <w:rFonts w:cs="Arial"/>
                <w:lang w:val="de-DE"/>
              </w:rPr>
              <w:t>RU+DU</w:t>
            </w:r>
          </w:p>
        </w:tc>
        <w:tc>
          <w:tcPr>
            <w:tcW w:w="1558" w:type="dxa"/>
            <w:hideMark/>
          </w:tcPr>
          <w:p w14:paraId="7E3E31C9" w14:textId="77777777" w:rsidR="00F80D53" w:rsidRPr="00A61F74"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de-DE"/>
              </w:rPr>
            </w:pPr>
            <w:r w:rsidRPr="0069218F">
              <w:rPr>
                <w:rFonts w:cs="Arial"/>
                <w:lang w:val="de-DE"/>
              </w:rPr>
              <w:t xml:space="preserve">CU + Core </w:t>
            </w:r>
            <w:proofErr w:type="spellStart"/>
            <w:r w:rsidRPr="0069218F">
              <w:rPr>
                <w:rFonts w:cs="Arial"/>
                <w:lang w:val="de-DE"/>
              </w:rPr>
              <w:t>network</w:t>
            </w:r>
            <w:proofErr w:type="spellEnd"/>
          </w:p>
        </w:tc>
        <w:tc>
          <w:tcPr>
            <w:tcW w:w="2595" w:type="dxa"/>
            <w:hideMark/>
          </w:tcPr>
          <w:p w14:paraId="3308D5F8" w14:textId="30661163" w:rsidR="00F80D53" w:rsidRPr="0083229F" w:rsidRDefault="00F80D53" w:rsidP="00427C57">
            <w:pPr>
              <w:cnfStyle w:val="000000000000" w:firstRow="0" w:lastRow="0" w:firstColumn="0" w:lastColumn="0" w:oddVBand="0" w:evenVBand="0" w:oddHBand="0" w:evenHBand="0" w:firstRowFirstColumn="0" w:firstRowLastColumn="0" w:lastRowFirstColumn="0" w:lastRowLastColumn="0"/>
              <w:rPr>
                <w:rFonts w:cs="Arial"/>
                <w:lang w:val="en-GB"/>
              </w:rPr>
            </w:pPr>
            <w:r w:rsidRPr="0083229F">
              <w:rPr>
                <w:rFonts w:cs="Arial"/>
                <w:lang w:val="en-GB"/>
              </w:rPr>
              <w:t>Reduced computation and memory footprint requirements on board the satellite while limiting the feeder link throughput requirements</w:t>
            </w:r>
          </w:p>
        </w:tc>
        <w:tc>
          <w:tcPr>
            <w:tcW w:w="2772" w:type="dxa"/>
            <w:hideMark/>
          </w:tcPr>
          <w:p w14:paraId="6A1800D7" w14:textId="58EF6621" w:rsidR="00CD3321" w:rsidRPr="0083229F"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en-GB"/>
              </w:rPr>
            </w:pPr>
            <w:r w:rsidRPr="0083229F">
              <w:rPr>
                <w:rFonts w:cs="Arial"/>
                <w:lang w:val="en-GB"/>
              </w:rPr>
              <w:t xml:space="preserve">High change rate of association between DU and CU </w:t>
            </w:r>
            <w:r w:rsidR="00CD3321" w:rsidRPr="0083229F">
              <w:rPr>
                <w:rFonts w:cs="Arial"/>
                <w:lang w:val="en-GB"/>
              </w:rPr>
              <w:t xml:space="preserve"> </w:t>
            </w:r>
          </w:p>
        </w:tc>
      </w:tr>
      <w:tr w:rsidR="00F80D53" w:rsidRPr="00D165DB" w14:paraId="74D1975D" w14:textId="77777777" w:rsidTr="000F5EBD">
        <w:tc>
          <w:tcPr>
            <w:cnfStyle w:val="001000000000" w:firstRow="0" w:lastRow="0" w:firstColumn="1" w:lastColumn="0" w:oddVBand="0" w:evenVBand="0" w:oddHBand="0" w:evenHBand="0" w:firstRowFirstColumn="0" w:firstRowLastColumn="0" w:lastRowFirstColumn="0" w:lastRowLastColumn="0"/>
            <w:tcW w:w="1146" w:type="dxa"/>
            <w:hideMark/>
          </w:tcPr>
          <w:p w14:paraId="334C9BCA" w14:textId="77777777" w:rsidR="00F80D53" w:rsidRPr="00A61F74" w:rsidRDefault="00F80D53" w:rsidP="00D165DB">
            <w:pPr>
              <w:rPr>
                <w:rFonts w:cs="Arial"/>
                <w:lang w:val="de-DE"/>
              </w:rPr>
            </w:pPr>
            <w:r w:rsidRPr="0069218F">
              <w:rPr>
                <w:rFonts w:cs="Arial"/>
                <w:lang w:val="de-DE"/>
              </w:rPr>
              <w:t>(4)</w:t>
            </w:r>
          </w:p>
        </w:tc>
        <w:tc>
          <w:tcPr>
            <w:tcW w:w="1558" w:type="dxa"/>
            <w:hideMark/>
          </w:tcPr>
          <w:p w14:paraId="1D016515" w14:textId="77777777" w:rsidR="00F80D53" w:rsidRPr="00A61F74"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de-DE"/>
              </w:rPr>
            </w:pPr>
            <w:r w:rsidRPr="0069218F">
              <w:rPr>
                <w:rFonts w:cs="Arial"/>
                <w:lang w:val="de-DE"/>
              </w:rPr>
              <w:t>RU+DU+CU</w:t>
            </w:r>
          </w:p>
        </w:tc>
        <w:tc>
          <w:tcPr>
            <w:tcW w:w="1558" w:type="dxa"/>
            <w:hideMark/>
          </w:tcPr>
          <w:p w14:paraId="598FA228" w14:textId="77777777" w:rsidR="00F80D53" w:rsidRPr="00A61F74"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de-DE"/>
              </w:rPr>
            </w:pPr>
            <w:r w:rsidRPr="0069218F">
              <w:rPr>
                <w:rFonts w:cs="Arial"/>
                <w:lang w:val="de-DE"/>
              </w:rPr>
              <w:t xml:space="preserve">Core </w:t>
            </w:r>
            <w:proofErr w:type="spellStart"/>
            <w:r w:rsidRPr="0069218F">
              <w:rPr>
                <w:rFonts w:cs="Arial"/>
                <w:lang w:val="de-DE"/>
              </w:rPr>
              <w:t>network</w:t>
            </w:r>
            <w:proofErr w:type="spellEnd"/>
          </w:p>
        </w:tc>
        <w:tc>
          <w:tcPr>
            <w:tcW w:w="2595" w:type="dxa"/>
            <w:hideMark/>
          </w:tcPr>
          <w:p w14:paraId="764CB5F7" w14:textId="29A59057" w:rsidR="00F80D53" w:rsidRPr="0083229F"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en-GB"/>
              </w:rPr>
            </w:pPr>
            <w:r w:rsidRPr="0083229F">
              <w:rPr>
                <w:rFonts w:cs="Arial"/>
                <w:lang w:val="en-GB"/>
              </w:rPr>
              <w:t xml:space="preserve">Ensure resilient RAN operations (except for </w:t>
            </w:r>
            <w:r w:rsidR="002D23D7" w:rsidRPr="0083229F">
              <w:rPr>
                <w:rFonts w:cs="Arial"/>
                <w:lang w:val="en-GB"/>
              </w:rPr>
              <w:t>authentication</w:t>
            </w:r>
            <w:r w:rsidRPr="0083229F">
              <w:rPr>
                <w:rFonts w:cs="Arial"/>
                <w:lang w:val="en-GB"/>
              </w:rPr>
              <w:t xml:space="preserve"> and AMF mobility)</w:t>
            </w:r>
          </w:p>
        </w:tc>
        <w:tc>
          <w:tcPr>
            <w:tcW w:w="2772" w:type="dxa"/>
            <w:hideMark/>
          </w:tcPr>
          <w:p w14:paraId="77EDB1F9" w14:textId="50D0DC8C" w:rsidR="00F80D53" w:rsidRPr="0083229F"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en-GB"/>
              </w:rPr>
            </w:pPr>
            <w:r w:rsidRPr="0083229F">
              <w:rPr>
                <w:rFonts w:cs="Arial"/>
                <w:lang w:val="en-GB"/>
              </w:rPr>
              <w:t xml:space="preserve">Important memory </w:t>
            </w:r>
            <w:r w:rsidR="00CD3321" w:rsidRPr="0083229F">
              <w:rPr>
                <w:rFonts w:cs="Arial"/>
                <w:lang w:val="en-GB"/>
              </w:rPr>
              <w:t>s</w:t>
            </w:r>
            <w:r w:rsidRPr="0083229F">
              <w:rPr>
                <w:rFonts w:cs="Arial"/>
                <w:lang w:val="en-GB"/>
              </w:rPr>
              <w:t>and computation footprint required on board the satellite payload, limiting the energy and computation allocated to the service link throughput performance</w:t>
            </w:r>
          </w:p>
        </w:tc>
      </w:tr>
      <w:tr w:rsidR="00F80D53" w:rsidRPr="00D165DB" w14:paraId="6569CB0C" w14:textId="77777777" w:rsidTr="000F5EBD">
        <w:tc>
          <w:tcPr>
            <w:cnfStyle w:val="001000000000" w:firstRow="0" w:lastRow="0" w:firstColumn="1" w:lastColumn="0" w:oddVBand="0" w:evenVBand="0" w:oddHBand="0" w:evenHBand="0" w:firstRowFirstColumn="0" w:firstRowLastColumn="0" w:lastRowFirstColumn="0" w:lastRowLastColumn="0"/>
            <w:tcW w:w="1146" w:type="dxa"/>
            <w:hideMark/>
          </w:tcPr>
          <w:p w14:paraId="27A8B902" w14:textId="77777777" w:rsidR="00F80D53" w:rsidRPr="00A61F74" w:rsidRDefault="00F80D53" w:rsidP="00D165DB">
            <w:pPr>
              <w:rPr>
                <w:rFonts w:cs="Arial"/>
                <w:lang w:val="de-DE"/>
              </w:rPr>
            </w:pPr>
            <w:r w:rsidRPr="0069218F">
              <w:rPr>
                <w:rFonts w:cs="Arial"/>
                <w:lang w:val="de-DE"/>
              </w:rPr>
              <w:t>(5)</w:t>
            </w:r>
          </w:p>
        </w:tc>
        <w:tc>
          <w:tcPr>
            <w:tcW w:w="1558" w:type="dxa"/>
            <w:hideMark/>
          </w:tcPr>
          <w:p w14:paraId="0ECE3CB3" w14:textId="77777777" w:rsidR="00F80D53" w:rsidRPr="0083229F"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en-GB"/>
              </w:rPr>
            </w:pPr>
            <w:r w:rsidRPr="0083229F">
              <w:rPr>
                <w:rFonts w:cs="Arial"/>
                <w:lang w:val="en-GB"/>
              </w:rPr>
              <w:t>RU+DU+CU+ part of the core network + edge computing functions</w:t>
            </w:r>
          </w:p>
        </w:tc>
        <w:tc>
          <w:tcPr>
            <w:tcW w:w="1558" w:type="dxa"/>
            <w:hideMark/>
          </w:tcPr>
          <w:p w14:paraId="18FB50A2" w14:textId="77777777" w:rsidR="00F80D53" w:rsidRPr="0083229F"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en-GB"/>
              </w:rPr>
            </w:pPr>
            <w:r w:rsidRPr="0083229F">
              <w:rPr>
                <w:rFonts w:cs="Arial"/>
                <w:lang w:val="en-GB"/>
              </w:rPr>
              <w:t>Part of the core network</w:t>
            </w:r>
          </w:p>
        </w:tc>
        <w:tc>
          <w:tcPr>
            <w:tcW w:w="2595" w:type="dxa"/>
            <w:hideMark/>
          </w:tcPr>
          <w:p w14:paraId="7C5113C4" w14:textId="77777777" w:rsidR="00F80D53" w:rsidRPr="0083229F"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en-GB"/>
              </w:rPr>
            </w:pPr>
            <w:r w:rsidRPr="0083229F">
              <w:rPr>
                <w:rFonts w:cs="Arial"/>
                <w:lang w:val="en-GB"/>
              </w:rPr>
              <w:t>Ensure higher network resiliency and lower connection set-up delay</w:t>
            </w:r>
          </w:p>
        </w:tc>
        <w:tc>
          <w:tcPr>
            <w:tcW w:w="2772" w:type="dxa"/>
            <w:hideMark/>
          </w:tcPr>
          <w:p w14:paraId="4D7039E4" w14:textId="77777777" w:rsidR="00F80D53" w:rsidRPr="0083229F" w:rsidRDefault="00F80D53" w:rsidP="00D165DB">
            <w:pPr>
              <w:cnfStyle w:val="000000000000" w:firstRow="0" w:lastRow="0" w:firstColumn="0" w:lastColumn="0" w:oddVBand="0" w:evenVBand="0" w:oddHBand="0" w:evenHBand="0" w:firstRowFirstColumn="0" w:firstRowLastColumn="0" w:lastRowFirstColumn="0" w:lastRowLastColumn="0"/>
              <w:rPr>
                <w:rFonts w:cs="Arial"/>
                <w:lang w:val="en-GB"/>
              </w:rPr>
            </w:pPr>
            <w:r w:rsidRPr="0083229F">
              <w:rPr>
                <w:rFonts w:cs="Arial"/>
                <w:lang w:val="en-GB"/>
              </w:rPr>
              <w:t>Fast changes of association between network functions to be mitigated</w:t>
            </w:r>
          </w:p>
        </w:tc>
      </w:tr>
    </w:tbl>
    <w:p w14:paraId="6830ECF3" w14:textId="02182177" w:rsidR="00F80D53" w:rsidRDefault="00F80D53" w:rsidP="00940708">
      <w:pPr>
        <w:contextualSpacing/>
        <w:jc w:val="left"/>
        <w:rPr>
          <w:rFonts w:cs="Arial"/>
        </w:rPr>
      </w:pPr>
    </w:p>
    <w:p w14:paraId="1CB60826" w14:textId="3EF1DFBE" w:rsidR="00427C57" w:rsidRPr="00427C57" w:rsidRDefault="00427C57" w:rsidP="00427C57">
      <w:pPr>
        <w:contextualSpacing/>
        <w:jc w:val="left"/>
        <w:rPr>
          <w:rFonts w:cs="Arial"/>
        </w:rPr>
      </w:pPr>
      <w:r w:rsidRPr="00427C57">
        <w:rPr>
          <w:rFonts w:cs="Arial"/>
        </w:rPr>
        <w:t>Each scenario exhibits advantages and constraints and targets different types of services, e.g. direct to device, broadband, low latency services, UE-sat-UE connectivity. Scenarios (2) and (5) can also be implemented in a multi-</w:t>
      </w:r>
      <w:r w:rsidR="00170713" w:rsidRPr="00427C57">
        <w:rPr>
          <w:rFonts w:cs="Arial"/>
        </w:rPr>
        <w:t>orbit-based</w:t>
      </w:r>
      <w:r w:rsidRPr="00427C57">
        <w:rPr>
          <w:rFonts w:cs="Arial"/>
        </w:rPr>
        <w:t xml:space="preserve"> architecture (between NGSO and GSO)</w:t>
      </w:r>
      <w:r w:rsidR="00B61DFA">
        <w:rPr>
          <w:rFonts w:cs="Arial"/>
        </w:rPr>
        <w:t>.</w:t>
      </w:r>
    </w:p>
    <w:p w14:paraId="104C6C49" w14:textId="77777777" w:rsidR="00170713" w:rsidRDefault="00170713" w:rsidP="00427C57">
      <w:pPr>
        <w:contextualSpacing/>
        <w:jc w:val="left"/>
        <w:rPr>
          <w:rFonts w:cs="Arial"/>
        </w:rPr>
      </w:pPr>
    </w:p>
    <w:p w14:paraId="0E634EEF" w14:textId="3B7CEF67" w:rsidR="00427C57" w:rsidRDefault="00427C57" w:rsidP="00427C57">
      <w:pPr>
        <w:contextualSpacing/>
        <w:jc w:val="left"/>
        <w:rPr>
          <w:rFonts w:cs="Arial"/>
        </w:rPr>
      </w:pPr>
      <w:r w:rsidRPr="00170713">
        <w:rPr>
          <w:rFonts w:cs="Arial"/>
          <w:u w:val="single"/>
        </w:rPr>
        <w:t xml:space="preserve">For the scenarios (1) and (2) </w:t>
      </w:r>
      <w:r w:rsidR="00170713" w:rsidRPr="00170713">
        <w:rPr>
          <w:rFonts w:cs="Arial"/>
          <w:u w:val="single"/>
        </w:rPr>
        <w:t>:</w:t>
      </w:r>
      <w:r w:rsidR="00170713">
        <w:rPr>
          <w:rFonts w:cs="Arial"/>
        </w:rPr>
        <w:t xml:space="preserve"> </w:t>
      </w:r>
      <w:r w:rsidRPr="00427C57">
        <w:rPr>
          <w:rFonts w:cs="Arial"/>
        </w:rPr>
        <w:t xml:space="preserve">a </w:t>
      </w:r>
      <w:proofErr w:type="spellStart"/>
      <w:r w:rsidRPr="00427C57">
        <w:rPr>
          <w:rFonts w:cs="Arial"/>
        </w:rPr>
        <w:t>fronthaul</w:t>
      </w:r>
      <w:proofErr w:type="spellEnd"/>
      <w:r w:rsidRPr="00427C57">
        <w:rPr>
          <w:rFonts w:cs="Arial"/>
        </w:rPr>
        <w:t xml:space="preserve"> interface </w:t>
      </w:r>
      <w:r w:rsidR="00170713" w:rsidRPr="00427C57">
        <w:rPr>
          <w:rFonts w:cs="Arial"/>
        </w:rPr>
        <w:t>must</w:t>
      </w:r>
      <w:r w:rsidRPr="00427C57">
        <w:rPr>
          <w:rFonts w:cs="Arial"/>
        </w:rPr>
        <w:t xml:space="preserve"> be specified to h</w:t>
      </w:r>
      <w:r>
        <w:rPr>
          <w:rFonts w:cs="Arial"/>
        </w:rPr>
        <w:t>andle high latency and jitter b</w:t>
      </w:r>
      <w:r w:rsidRPr="00427C57">
        <w:rPr>
          <w:rFonts w:cs="Arial"/>
        </w:rPr>
        <w:t>ut as endorsed at the RAN#109 plenary</w:t>
      </w:r>
      <w:r w:rsidR="00311F9A">
        <w:rPr>
          <w:rFonts w:cs="Arial"/>
        </w:rPr>
        <w:t xml:space="preserve"> [6]</w:t>
      </w:r>
      <w:r w:rsidRPr="00427C57">
        <w:rPr>
          <w:rFonts w:cs="Arial"/>
        </w:rPr>
        <w:t xml:space="preserve">, the interface between RU and </w:t>
      </w:r>
      <w:r w:rsidR="009B080A">
        <w:rPr>
          <w:rFonts w:cs="Arial"/>
        </w:rPr>
        <w:t xml:space="preserve">other parts of </w:t>
      </w:r>
      <w:r w:rsidRPr="00427C57">
        <w:rPr>
          <w:rFonts w:cs="Arial"/>
        </w:rPr>
        <w:t xml:space="preserve">6G </w:t>
      </w:r>
      <w:proofErr w:type="spellStart"/>
      <w:r w:rsidRPr="00427C57">
        <w:rPr>
          <w:rFonts w:cs="Arial"/>
        </w:rPr>
        <w:t>NodeB</w:t>
      </w:r>
      <w:proofErr w:type="spellEnd"/>
      <w:r w:rsidRPr="00427C57">
        <w:rPr>
          <w:rFonts w:cs="Arial"/>
        </w:rPr>
        <w:t xml:space="preserve"> is not specified in 3GPP and let to implementation and other standardization bodies (e.g. O-RAN) </w:t>
      </w:r>
      <w:r w:rsidRPr="00A61F74">
        <w:rPr>
          <w:rFonts w:cs="Arial"/>
        </w:rPr>
        <w:t>[RAN#109 chair’s notes].</w:t>
      </w:r>
    </w:p>
    <w:p w14:paraId="3D9CDD3A" w14:textId="77777777" w:rsidR="00427C57" w:rsidRPr="00427C57" w:rsidRDefault="00427C57" w:rsidP="00427C57">
      <w:pPr>
        <w:contextualSpacing/>
        <w:jc w:val="left"/>
        <w:rPr>
          <w:rFonts w:cs="Arial"/>
        </w:rPr>
      </w:pPr>
    </w:p>
    <w:p w14:paraId="12D7D1FC" w14:textId="16C5EE5E" w:rsidR="00427C57" w:rsidRDefault="00427C57" w:rsidP="00427C57">
      <w:pPr>
        <w:contextualSpacing/>
        <w:jc w:val="left"/>
        <w:rPr>
          <w:rFonts w:cs="Arial"/>
        </w:rPr>
      </w:pPr>
      <w:r w:rsidRPr="00170713">
        <w:rPr>
          <w:rFonts w:cs="Arial"/>
          <w:u w:val="single"/>
        </w:rPr>
        <w:t>For the scenario (3)</w:t>
      </w:r>
      <w:r w:rsidR="00170713">
        <w:rPr>
          <w:rFonts w:cs="Arial"/>
          <w:u w:val="single"/>
        </w:rPr>
        <w:t>:</w:t>
      </w:r>
      <w:r w:rsidRPr="00427C57">
        <w:rPr>
          <w:rFonts w:cs="Arial"/>
        </w:rPr>
        <w:t xml:space="preserve"> the functional split takes place between a DU (low layers) and CU (high layers). The DU and CU split can be flexible according to the dynamic context (traffic load, service provided,…). The transport network layer should accommodate the latency of feeder link and possibly Inter-Satellite Links (ISL).</w:t>
      </w:r>
    </w:p>
    <w:p w14:paraId="74BB6E3D" w14:textId="77777777" w:rsidR="00427C57" w:rsidRPr="00427C57" w:rsidRDefault="00427C57" w:rsidP="00427C57">
      <w:pPr>
        <w:contextualSpacing/>
        <w:jc w:val="left"/>
        <w:rPr>
          <w:rFonts w:cs="Arial"/>
        </w:rPr>
      </w:pPr>
    </w:p>
    <w:p w14:paraId="7C9F7BFF" w14:textId="0C1D665F" w:rsidR="00427C57" w:rsidRDefault="00170713" w:rsidP="00427C57">
      <w:pPr>
        <w:contextualSpacing/>
        <w:jc w:val="left"/>
        <w:rPr>
          <w:rFonts w:cs="Arial"/>
        </w:rPr>
      </w:pPr>
      <w:r w:rsidRPr="00170713">
        <w:rPr>
          <w:rFonts w:cs="Arial"/>
          <w:u w:val="single"/>
        </w:rPr>
        <w:t>The</w:t>
      </w:r>
      <w:r w:rsidR="00427C57" w:rsidRPr="00170713">
        <w:rPr>
          <w:rFonts w:cs="Arial"/>
          <w:u w:val="single"/>
        </w:rPr>
        <w:t xml:space="preserve"> scenario (4)</w:t>
      </w:r>
      <w:r w:rsidR="00427C57" w:rsidRPr="00427C57">
        <w:rPr>
          <w:rFonts w:cs="Arial"/>
        </w:rPr>
        <w:t xml:space="preserve"> corresponds to a regenerative architecture with fully </w:t>
      </w:r>
      <w:proofErr w:type="spellStart"/>
      <w:r w:rsidR="00427C57" w:rsidRPr="00427C57">
        <w:rPr>
          <w:rFonts w:cs="Arial"/>
        </w:rPr>
        <w:t>gNB</w:t>
      </w:r>
      <w:proofErr w:type="spellEnd"/>
      <w:r w:rsidR="00427C57" w:rsidRPr="00427C57">
        <w:rPr>
          <w:rFonts w:cs="Arial"/>
        </w:rPr>
        <w:t xml:space="preserve"> embarked and </w:t>
      </w:r>
      <w:r w:rsidR="00427C57" w:rsidRPr="00170713">
        <w:rPr>
          <w:rFonts w:cs="Arial"/>
          <w:u w:val="single"/>
        </w:rPr>
        <w:t>scenario (5)</w:t>
      </w:r>
      <w:r w:rsidR="00427C57" w:rsidRPr="00427C57">
        <w:rPr>
          <w:rFonts w:cs="Arial"/>
        </w:rPr>
        <w:t xml:space="preserve"> </w:t>
      </w:r>
      <w:r>
        <w:rPr>
          <w:rFonts w:cs="Arial"/>
        </w:rPr>
        <w:t xml:space="preserve">is </w:t>
      </w:r>
      <w:r w:rsidR="00427C57" w:rsidRPr="00427C57">
        <w:rPr>
          <w:rFonts w:cs="Arial"/>
        </w:rPr>
        <w:t>an architecture that can be described in SA WG2 for multi-orbit.</w:t>
      </w:r>
    </w:p>
    <w:p w14:paraId="6AA89D45" w14:textId="77777777" w:rsidR="00427C57" w:rsidRPr="00427C57" w:rsidRDefault="00427C57" w:rsidP="00427C57">
      <w:pPr>
        <w:contextualSpacing/>
        <w:jc w:val="left"/>
        <w:rPr>
          <w:rFonts w:cs="Arial"/>
        </w:rPr>
      </w:pPr>
    </w:p>
    <w:p w14:paraId="1824FC37" w14:textId="77777777" w:rsidR="00D267C6" w:rsidRDefault="00427C57" w:rsidP="00427C57">
      <w:pPr>
        <w:contextualSpacing/>
        <w:jc w:val="left"/>
        <w:rPr>
          <w:rFonts w:cs="Arial"/>
        </w:rPr>
      </w:pPr>
      <w:r w:rsidRPr="00427C57">
        <w:rPr>
          <w:rFonts w:cs="Arial"/>
        </w:rPr>
        <w:t xml:space="preserve">By leveraging the functional split between, NTN deployments can achieve greater flexibility and efficiency in network design and resource allocation. This separation allows part of the baseband processing to be centralized on ground stations or cloud infrastructure while distributing real-time radio functions closer to the </w:t>
      </w:r>
      <w:r w:rsidR="00D267C6">
        <w:rPr>
          <w:rFonts w:cs="Arial"/>
        </w:rPr>
        <w:t>satellite or airborne platform.</w:t>
      </w:r>
    </w:p>
    <w:p w14:paraId="49B00F4E" w14:textId="509FA5AF" w:rsidR="009D7CE4" w:rsidRDefault="00427C57" w:rsidP="002F4ECB">
      <w:pPr>
        <w:contextualSpacing/>
        <w:jc w:val="left"/>
        <w:rPr>
          <w:rFonts w:cs="Arial"/>
        </w:rPr>
      </w:pPr>
      <w:r w:rsidRPr="00427C57">
        <w:rPr>
          <w:rFonts w:cs="Arial"/>
        </w:rPr>
        <w:t>As a result, it reduces latency, optimizes bandwidth usage over satellite links, and enhances scalability by enabling dynamic allocation of processing resources depending on the traffic demand. Moreover, the split architecture facilitates easier upgrades and maintenance by isolating components, thus improving the overall operational resilience and adaptability of NTN systems to varying mission requirements and environments.</w:t>
      </w:r>
    </w:p>
    <w:p w14:paraId="17A41460" w14:textId="77777777" w:rsidR="00F33237" w:rsidRPr="002F4ECB" w:rsidRDefault="00F33237" w:rsidP="002F4ECB">
      <w:pPr>
        <w:contextualSpacing/>
        <w:jc w:val="left"/>
        <w:rPr>
          <w:rFonts w:cs="Arial"/>
        </w:rPr>
      </w:pPr>
    </w:p>
    <w:p w14:paraId="65B4381C" w14:textId="469AD3BD" w:rsidR="009D7CE4" w:rsidRDefault="00F33237" w:rsidP="00F33237">
      <w:pPr>
        <w:pStyle w:val="Proposal"/>
      </w:pPr>
      <w:r>
        <w:t>Study</w:t>
      </w:r>
      <w:r w:rsidR="00FD02E3">
        <w:t xml:space="preserve"> different</w:t>
      </w:r>
      <w:r>
        <w:t xml:space="preserve"> 6G RAN split architectures enabling the optimization of processing requirements on board regenerative satellites</w:t>
      </w:r>
    </w:p>
    <w:p w14:paraId="390CC5E5" w14:textId="77777777" w:rsidR="00F33237" w:rsidRPr="00F33237" w:rsidRDefault="00F33237" w:rsidP="00F33237">
      <w:pPr>
        <w:pStyle w:val="Proposal"/>
        <w:numPr>
          <w:ilvl w:val="0"/>
          <w:numId w:val="0"/>
        </w:numPr>
      </w:pPr>
    </w:p>
    <w:p w14:paraId="2F5F764B" w14:textId="4D222900" w:rsidR="00FD5E81" w:rsidRDefault="00FD5E81" w:rsidP="00A61F74">
      <w:pPr>
        <w:pStyle w:val="Titre2"/>
        <w:rPr>
          <w:rFonts w:eastAsia="SimSun"/>
          <w:lang w:eastAsia="en-US"/>
        </w:rPr>
      </w:pPr>
      <w:r>
        <w:rPr>
          <w:rFonts w:eastAsia="SimSun"/>
          <w:lang w:eastAsia="en-US"/>
        </w:rPr>
        <w:lastRenderedPageBreak/>
        <w:t>2.</w:t>
      </w:r>
      <w:r w:rsidR="00721E52">
        <w:rPr>
          <w:rFonts w:eastAsia="SimSun"/>
          <w:lang w:eastAsia="en-US"/>
        </w:rPr>
        <w:t>4</w:t>
      </w:r>
      <w:r>
        <w:rPr>
          <w:rFonts w:eastAsia="SimSun"/>
          <w:lang w:eastAsia="en-US"/>
        </w:rPr>
        <w:tab/>
      </w:r>
      <w:r w:rsidRPr="00FD5E81">
        <w:rPr>
          <w:rFonts w:eastAsia="SimSun"/>
          <w:lang w:eastAsia="en-US"/>
        </w:rPr>
        <w:t>Support of OAM for TN-NTN orchestration</w:t>
      </w:r>
    </w:p>
    <w:p w14:paraId="0BEA26AB" w14:textId="0C23696B" w:rsidR="00CB569E" w:rsidRDefault="00CB569E" w:rsidP="00CB569E">
      <w:pPr>
        <w:rPr>
          <w:rFonts w:eastAsia="SimSun"/>
          <w:lang w:val="en-GB" w:eastAsia="en-US"/>
        </w:rPr>
      </w:pPr>
      <w:r w:rsidRPr="00CB569E">
        <w:rPr>
          <w:rFonts w:eastAsia="SimSun"/>
          <w:lang w:val="en-GB" w:eastAsia="en-US"/>
        </w:rPr>
        <w:t>The integration of Operations, Administration, and Maintenance (OAM) support within TN-NTN orchestration is essential for achieving unified lifecycle management and end-to-end service assurance across hybrid terrestrial and non-terrestrial networks.</w:t>
      </w:r>
      <w:r w:rsidR="00170713">
        <w:rPr>
          <w:rFonts w:eastAsia="SimSun"/>
          <w:lang w:val="en-GB" w:eastAsia="en-US"/>
        </w:rPr>
        <w:t xml:space="preserve"> </w:t>
      </w:r>
      <w:r w:rsidRPr="00CB569E">
        <w:rPr>
          <w:rFonts w:eastAsia="SimSun"/>
          <w:lang w:val="en-GB" w:eastAsia="en-US"/>
        </w:rPr>
        <w:t xml:space="preserve">OAM in this context encompasses a broad spectrum of technical functions, including real-time telemetry, fault detection and isolation, configuration management, software and firmware updates, as well as performance and security monitoring. Such capabilities are </w:t>
      </w:r>
      <w:r w:rsidR="00A11DBB">
        <w:rPr>
          <w:rFonts w:eastAsia="SimSun"/>
          <w:lang w:val="en-GB" w:eastAsia="en-US"/>
        </w:rPr>
        <w:t>more</w:t>
      </w:r>
      <w:r w:rsidRPr="00CB569E">
        <w:rPr>
          <w:rFonts w:eastAsia="SimSun"/>
          <w:lang w:val="en-GB" w:eastAsia="en-US"/>
        </w:rPr>
        <w:t xml:space="preserve"> challenging in a multi-domain environment where</w:t>
      </w:r>
      <w:r w:rsidR="00A11DBB">
        <w:rPr>
          <w:rFonts w:eastAsia="SimSun"/>
          <w:lang w:val="en-GB" w:eastAsia="en-US"/>
        </w:rPr>
        <w:t xml:space="preserve"> </w:t>
      </w:r>
      <w:r w:rsidRPr="00CB569E">
        <w:rPr>
          <w:rFonts w:eastAsia="SimSun"/>
          <w:lang w:val="en-GB" w:eastAsia="en-US"/>
        </w:rPr>
        <w:t>latency, network topology, and management protocols may differ substantially between terrestria</w:t>
      </w:r>
      <w:r>
        <w:rPr>
          <w:rFonts w:eastAsia="SimSun"/>
          <w:lang w:val="en-GB" w:eastAsia="en-US"/>
        </w:rPr>
        <w:t>l and non-terrestrial segments.</w:t>
      </w:r>
    </w:p>
    <w:p w14:paraId="505962A0" w14:textId="35899ADB" w:rsidR="00596409" w:rsidRPr="00CB569E" w:rsidRDefault="00F33237" w:rsidP="00CB569E">
      <w:pPr>
        <w:rPr>
          <w:rFonts w:eastAsia="SimSun"/>
          <w:lang w:val="en-GB" w:eastAsia="en-US"/>
        </w:rPr>
      </w:pPr>
      <w:r>
        <w:rPr>
          <w:rFonts w:eastAsia="SimSun"/>
          <w:lang w:val="en-GB" w:eastAsia="en-US"/>
        </w:rPr>
        <w:t>In the 6G NTN there are new architectures including the use of VLEO orbit, multi-orbit scenario, split RAN architectures. These new architecture</w:t>
      </w:r>
      <w:r w:rsidR="00FD02E3">
        <w:rPr>
          <w:rFonts w:eastAsia="SimSun"/>
          <w:lang w:val="en-GB" w:eastAsia="en-US"/>
        </w:rPr>
        <w:t>s</w:t>
      </w:r>
      <w:r>
        <w:rPr>
          <w:rFonts w:eastAsia="SimSun"/>
          <w:lang w:val="en-GB" w:eastAsia="en-US"/>
        </w:rPr>
        <w:t xml:space="preserve"> will need further enhancements </w:t>
      </w:r>
      <w:r w:rsidR="00596409">
        <w:rPr>
          <w:rFonts w:eastAsia="SimSun"/>
          <w:lang w:val="en-GB" w:eastAsia="en-US"/>
        </w:rPr>
        <w:t>on the information’s provided by O&amp;M to the access nodes in order to guarantee the NTN access and the NTN-TN service continuity, and multi-orbit mobility and coordination.</w:t>
      </w:r>
    </w:p>
    <w:p w14:paraId="183E15B9" w14:textId="65C8854A" w:rsidR="00596409" w:rsidRDefault="00F33237" w:rsidP="00596409">
      <w:pPr>
        <w:pStyle w:val="Proposal"/>
        <w:rPr>
          <w:rFonts w:eastAsia="SimSun"/>
        </w:rPr>
      </w:pPr>
      <w:r w:rsidRPr="00596409">
        <w:rPr>
          <w:rFonts w:eastAsia="SimSun"/>
        </w:rPr>
        <w:t>Study the necessary OAM enhancements accordingly</w:t>
      </w:r>
    </w:p>
    <w:p w14:paraId="58AE4A30" w14:textId="77777777" w:rsidR="00596409" w:rsidRPr="00596409" w:rsidRDefault="00596409" w:rsidP="00596409">
      <w:pPr>
        <w:pStyle w:val="Proposal"/>
        <w:numPr>
          <w:ilvl w:val="0"/>
          <w:numId w:val="0"/>
        </w:numPr>
        <w:rPr>
          <w:rFonts w:eastAsia="SimSun"/>
        </w:rPr>
      </w:pPr>
    </w:p>
    <w:p w14:paraId="173F6C0D" w14:textId="1F899211" w:rsidR="009A01A0" w:rsidRDefault="005C07DE" w:rsidP="00053736">
      <w:pPr>
        <w:pStyle w:val="Titre1"/>
        <w:rPr>
          <w:lang w:val="en-US"/>
        </w:rPr>
      </w:pPr>
      <w:r>
        <w:rPr>
          <w:lang w:val="en-US"/>
        </w:rPr>
        <w:t>3</w:t>
      </w:r>
      <w:r>
        <w:rPr>
          <w:lang w:val="en-US"/>
        </w:rPr>
        <w:tab/>
      </w:r>
      <w:r w:rsidR="00C01F33" w:rsidRPr="00264B7E">
        <w:rPr>
          <w:lang w:val="en-US"/>
        </w:rPr>
        <w:t>Conclusion</w:t>
      </w:r>
    </w:p>
    <w:p w14:paraId="650F6929" w14:textId="1B695115" w:rsidR="004564AA" w:rsidRDefault="004564AA" w:rsidP="004564AA">
      <w:r>
        <w:t xml:space="preserve">In this document, the following proposals </w:t>
      </w:r>
      <w:r w:rsidR="004C2E75">
        <w:t xml:space="preserve">are </w:t>
      </w:r>
      <w:r>
        <w:t>made:</w:t>
      </w:r>
    </w:p>
    <w:p w14:paraId="64007624" w14:textId="1584D9F2" w:rsidR="004564AA" w:rsidRDefault="00596409" w:rsidP="00596409">
      <w:pPr>
        <w:pStyle w:val="Proposal"/>
        <w:numPr>
          <w:ilvl w:val="0"/>
          <w:numId w:val="0"/>
        </w:numPr>
        <w:ind w:left="1304" w:hanging="1304"/>
      </w:pPr>
      <w:r>
        <w:t>Proposal 1</w:t>
      </w:r>
      <w:r>
        <w:tab/>
      </w:r>
      <w:r w:rsidR="004C2E75">
        <w:t xml:space="preserve">Study </w:t>
      </w:r>
      <w:r w:rsidR="004564AA" w:rsidRPr="008E2EEF">
        <w:t xml:space="preserve">a unified </w:t>
      </w:r>
      <w:r w:rsidR="004564AA">
        <w:t xml:space="preserve">6G radio access </w:t>
      </w:r>
      <w:r w:rsidR="004564AA" w:rsidRPr="008E2EEF">
        <w:t xml:space="preserve">architecture that </w:t>
      </w:r>
      <w:r w:rsidR="00D86CB3">
        <w:t>can</w:t>
      </w:r>
      <w:r w:rsidR="00D86CB3" w:rsidRPr="008E2EEF">
        <w:t xml:space="preserve"> </w:t>
      </w:r>
      <w:r w:rsidR="004564AA" w:rsidRPr="008E2EEF">
        <w:t xml:space="preserve">seamless </w:t>
      </w:r>
      <w:r w:rsidR="00D86CB3">
        <w:t xml:space="preserve">support both </w:t>
      </w:r>
      <w:r w:rsidR="004564AA" w:rsidRPr="008E2EEF">
        <w:t>terrestrial and non-terrestrial network</w:t>
      </w:r>
      <w:r w:rsidR="004564AA">
        <w:t>s</w:t>
      </w:r>
    </w:p>
    <w:p w14:paraId="6897705E" w14:textId="252AE63B" w:rsidR="002F4ECB" w:rsidRDefault="00596409" w:rsidP="00596409">
      <w:pPr>
        <w:pStyle w:val="Proposal"/>
        <w:numPr>
          <w:ilvl w:val="0"/>
          <w:numId w:val="0"/>
        </w:numPr>
        <w:ind w:left="1304" w:hanging="1304"/>
      </w:pPr>
      <w:r>
        <w:t>Proposal 2</w:t>
      </w:r>
      <w:r>
        <w:tab/>
      </w:r>
      <w:r w:rsidR="004C2E75">
        <w:t>Study</w:t>
      </w:r>
      <w:r w:rsidR="002F4ECB">
        <w:t xml:space="preserve"> the </w:t>
      </w:r>
      <w:r w:rsidR="004C2E75">
        <w:t xml:space="preserve">support </w:t>
      </w:r>
      <w:r w:rsidR="002F4ECB">
        <w:t>of Inter-Satellite Link</w:t>
      </w:r>
      <w:r w:rsidR="004C2E75">
        <w:t xml:space="preserve">s between </w:t>
      </w:r>
      <w:r w:rsidR="00FD02E3">
        <w:t>any</w:t>
      </w:r>
      <w:r w:rsidR="004C2E75">
        <w:t xml:space="preserve"> satellites</w:t>
      </w:r>
      <w:r w:rsidR="002F4ECB">
        <w:t xml:space="preserve"> in the </w:t>
      </w:r>
      <w:r w:rsidR="004C2E75">
        <w:t xml:space="preserve">definition </w:t>
      </w:r>
      <w:r w:rsidR="002F4ECB">
        <w:t xml:space="preserve">of the </w:t>
      </w:r>
      <w:r w:rsidR="004C2E75">
        <w:t xml:space="preserve">6G </w:t>
      </w:r>
      <w:r w:rsidR="002F4ECB">
        <w:t>architecture</w:t>
      </w:r>
      <w:r w:rsidR="00FD02E3" w:rsidRPr="00DB4414">
        <w:t>. The Inter Satellite Link can be between any type of satellite (NGSO-NGSO or GSO-GSO or NGSO-GSO)</w:t>
      </w:r>
    </w:p>
    <w:p w14:paraId="4A01F20C" w14:textId="0AEB4079" w:rsidR="004564AA" w:rsidRPr="0069218F" w:rsidRDefault="00596409" w:rsidP="00596409">
      <w:pPr>
        <w:pStyle w:val="Proposal"/>
        <w:numPr>
          <w:ilvl w:val="0"/>
          <w:numId w:val="0"/>
        </w:numPr>
        <w:ind w:left="1304" w:hanging="1304"/>
      </w:pPr>
      <w:r>
        <w:t>Proposal 3</w:t>
      </w:r>
      <w:r>
        <w:tab/>
      </w:r>
      <w:r w:rsidR="004C2E75">
        <w:t>Study</w:t>
      </w:r>
      <w:r w:rsidR="00F2317D">
        <w:t xml:space="preserve"> the support of mobility between NGSO satellites and between GSO/NGSO satellites in the design of the 6G </w:t>
      </w:r>
      <w:r w:rsidR="004564AA">
        <w:t>architecture</w:t>
      </w:r>
      <w:r w:rsidR="00F2317D">
        <w:t xml:space="preserve"> and</w:t>
      </w:r>
      <w:r w:rsidR="004564AA" w:rsidRPr="0069218F">
        <w:t xml:space="preserve"> </w:t>
      </w:r>
      <w:r w:rsidR="00F2317D">
        <w:t xml:space="preserve">radio protocol </w:t>
      </w:r>
    </w:p>
    <w:p w14:paraId="0D7E69CB" w14:textId="4EF5E301" w:rsidR="00170713" w:rsidRPr="008E2EEF" w:rsidRDefault="00596409" w:rsidP="00596409">
      <w:pPr>
        <w:pStyle w:val="Proposal"/>
        <w:numPr>
          <w:ilvl w:val="0"/>
          <w:numId w:val="0"/>
        </w:numPr>
        <w:ind w:left="1304" w:hanging="1304"/>
      </w:pPr>
      <w:r>
        <w:t>Proposal 4</w:t>
      </w:r>
      <w:r>
        <w:tab/>
      </w:r>
      <w:r w:rsidR="004C2E75">
        <w:t>Study</w:t>
      </w:r>
      <w:r w:rsidR="00FD02E3">
        <w:t xml:space="preserve"> different</w:t>
      </w:r>
      <w:r w:rsidR="004C2E75">
        <w:t xml:space="preserve"> 6G RAN split architectures enabling the optimization of processing requirements on board regenerative satellites</w:t>
      </w:r>
    </w:p>
    <w:p w14:paraId="4671BBD8" w14:textId="7ADDA6D6" w:rsidR="008F0B70" w:rsidRDefault="00596409" w:rsidP="00596409">
      <w:pPr>
        <w:pStyle w:val="Proposal"/>
        <w:numPr>
          <w:ilvl w:val="0"/>
          <w:numId w:val="0"/>
        </w:numPr>
        <w:ind w:left="1304" w:hanging="1304"/>
        <w:rPr>
          <w:rFonts w:eastAsia="SimSun"/>
          <w:lang w:val="en-GB"/>
        </w:rPr>
      </w:pPr>
      <w:r>
        <w:rPr>
          <w:rFonts w:eastAsia="SimSun"/>
          <w:lang w:val="en-GB"/>
        </w:rPr>
        <w:t>Proposal 5</w:t>
      </w:r>
      <w:r>
        <w:rPr>
          <w:rFonts w:eastAsia="SimSun"/>
          <w:lang w:val="en-GB"/>
        </w:rPr>
        <w:tab/>
      </w:r>
      <w:r w:rsidR="00405C8C">
        <w:rPr>
          <w:rFonts w:eastAsia="SimSun"/>
          <w:lang w:val="en-GB"/>
        </w:rPr>
        <w:t xml:space="preserve">Study the necessary </w:t>
      </w:r>
      <w:r w:rsidR="00A63DB4">
        <w:rPr>
          <w:rFonts w:eastAsia="SimSun"/>
          <w:lang w:val="en-GB"/>
        </w:rPr>
        <w:t xml:space="preserve">OAM </w:t>
      </w:r>
      <w:r w:rsidR="00E36367">
        <w:rPr>
          <w:rFonts w:eastAsia="SimSun"/>
          <w:lang w:val="en-GB"/>
        </w:rPr>
        <w:t xml:space="preserve">enhancements </w:t>
      </w:r>
      <w:r w:rsidR="00E36367" w:rsidRPr="00596409">
        <w:rPr>
          <w:rFonts w:eastAsia="SimSun"/>
        </w:rPr>
        <w:t>accordingly</w:t>
      </w:r>
    </w:p>
    <w:p w14:paraId="1FA2469B" w14:textId="71F66823" w:rsidR="004564AA" w:rsidRPr="00F0710E" w:rsidRDefault="004564AA" w:rsidP="00F33237">
      <w:pPr>
        <w:pStyle w:val="Proposal"/>
        <w:numPr>
          <w:ilvl w:val="0"/>
          <w:numId w:val="0"/>
        </w:numPr>
        <w:rPr>
          <w:rFonts w:eastAsia="SimSun"/>
          <w:lang w:val="en-GB"/>
        </w:rPr>
      </w:pPr>
    </w:p>
    <w:p w14:paraId="7BD5CFC3" w14:textId="77777777" w:rsidR="00F507D1" w:rsidRPr="00264B7E" w:rsidRDefault="00F507D1" w:rsidP="00A61F74">
      <w:pPr>
        <w:pStyle w:val="Titre1"/>
        <w:pBdr>
          <w:top w:val="single" w:sz="12" w:space="0" w:color="auto"/>
        </w:pBdr>
        <w:rPr>
          <w:lang w:val="en-US"/>
        </w:rPr>
      </w:pPr>
      <w:bookmarkStart w:id="3" w:name="_In-sequence_SDU_delivery"/>
      <w:bookmarkEnd w:id="3"/>
      <w:r w:rsidRPr="00264B7E">
        <w:rPr>
          <w:lang w:val="en-US"/>
        </w:rPr>
        <w:t>References</w:t>
      </w:r>
    </w:p>
    <w:p w14:paraId="68349FA2" w14:textId="60A0C52E" w:rsidR="00156DD8" w:rsidRDefault="00666120" w:rsidP="00666120">
      <w:pPr>
        <w:pStyle w:val="Reference"/>
      </w:pPr>
      <w:r w:rsidRPr="00666120">
        <w:t>RP-252912</w:t>
      </w:r>
      <w:r>
        <w:t>, “</w:t>
      </w:r>
      <w:r w:rsidRPr="00666120">
        <w:t>Revised SID: Study on 6G Radio</w:t>
      </w:r>
      <w:r>
        <w:t xml:space="preserve">”, NTT </w:t>
      </w:r>
      <w:proofErr w:type="spellStart"/>
      <w:r>
        <w:t>Docomo</w:t>
      </w:r>
      <w:proofErr w:type="spellEnd"/>
      <w:r>
        <w:t>, CMCC, AT&amp;T, Vodafone, Beijing, CN, September 2025.</w:t>
      </w:r>
    </w:p>
    <w:p w14:paraId="12B95074" w14:textId="12094103" w:rsidR="00666120" w:rsidRDefault="00666120" w:rsidP="00666120">
      <w:pPr>
        <w:pStyle w:val="Reference"/>
      </w:pPr>
      <w:r>
        <w:t>RP-250810, “</w:t>
      </w:r>
      <w:r w:rsidRPr="00666120">
        <w:t>Revised SID: Study on 6G Scenarios and requirements</w:t>
      </w:r>
      <w:r>
        <w:t xml:space="preserve">”, </w:t>
      </w:r>
      <w:r w:rsidRPr="00666120">
        <w:t>CMCC, Verizon</w:t>
      </w:r>
      <w:r>
        <w:t xml:space="preserve">, NTT </w:t>
      </w:r>
      <w:proofErr w:type="spellStart"/>
      <w:r>
        <w:t>Docomo</w:t>
      </w:r>
      <w:proofErr w:type="spellEnd"/>
      <w:r w:rsidRPr="00666120">
        <w:t>, Deutsche Telekom</w:t>
      </w:r>
      <w:r>
        <w:t>, Incheon, KR, March 2025.</w:t>
      </w:r>
    </w:p>
    <w:p w14:paraId="080FDA6C" w14:textId="1767B628" w:rsidR="00666120" w:rsidRDefault="00666120" w:rsidP="00666120">
      <w:pPr>
        <w:pStyle w:val="Reference"/>
      </w:pPr>
      <w:r>
        <w:t>3GPP TR 38.914, “</w:t>
      </w:r>
      <w:r w:rsidRPr="00666120">
        <w:tab/>
        <w:t>Study on 6G Scenarios and requirements</w:t>
      </w:r>
      <w:r>
        <w:t>”, v0.1.1, Beijing, CN, September 2025.</w:t>
      </w:r>
    </w:p>
    <w:p w14:paraId="0485EB9D" w14:textId="6AE326D3" w:rsidR="00C773AD" w:rsidRDefault="00C773AD" w:rsidP="00C773AD">
      <w:pPr>
        <w:pStyle w:val="Reference"/>
      </w:pPr>
      <w:r w:rsidRPr="00C773AD">
        <w:t>3GPP TR 38.760-3</w:t>
      </w:r>
      <w:r w:rsidR="00F0710E">
        <w:t>,</w:t>
      </w:r>
      <w:r>
        <w:t xml:space="preserve"> “</w:t>
      </w:r>
      <w:r w:rsidRPr="00C773AD">
        <w:t>Study on 6G Radio RAN3 aspects</w:t>
      </w:r>
      <w:r>
        <w:t>”, v0.2.0, November 2025.</w:t>
      </w:r>
    </w:p>
    <w:p w14:paraId="6BB19309" w14:textId="79AC8BB2" w:rsidR="00C773AD" w:rsidRPr="00311F9A" w:rsidRDefault="00C773AD" w:rsidP="00C773AD">
      <w:pPr>
        <w:pStyle w:val="Reference"/>
      </w:pPr>
      <w:r w:rsidRPr="00797257">
        <w:rPr>
          <w:rFonts w:cs="Arial"/>
        </w:rPr>
        <w:t>R3-</w:t>
      </w:r>
      <w:bookmarkStart w:id="4" w:name="_Hlk220251568"/>
      <w:r w:rsidRPr="00797257">
        <w:rPr>
          <w:rFonts w:cs="Arial"/>
        </w:rPr>
        <w:t xml:space="preserve">258565 </w:t>
      </w:r>
      <w:bookmarkEnd w:id="4"/>
      <w:r w:rsidRPr="005203F2">
        <w:rPr>
          <w:rFonts w:cs="Arial"/>
        </w:rPr>
        <w:t xml:space="preserve">“6G RAN internal functional split and interfaces for NTN” </w:t>
      </w:r>
      <w:r w:rsidRPr="00797257">
        <w:rPr>
          <w:rFonts w:cs="Arial"/>
        </w:rPr>
        <w:t xml:space="preserve">THALES, ESA, EchoStar, Lockheed Martin, </w:t>
      </w:r>
      <w:proofErr w:type="spellStart"/>
      <w:r w:rsidRPr="00797257">
        <w:rPr>
          <w:rFonts w:cs="Arial"/>
        </w:rPr>
        <w:t>Novamint</w:t>
      </w:r>
      <w:proofErr w:type="spellEnd"/>
      <w:r w:rsidRPr="005203F2">
        <w:rPr>
          <w:rFonts w:cs="Arial"/>
        </w:rPr>
        <w:t xml:space="preserve">, </w:t>
      </w:r>
      <w:r>
        <w:rPr>
          <w:rFonts w:cs="Arial"/>
        </w:rPr>
        <w:t>November</w:t>
      </w:r>
      <w:r w:rsidRPr="005203F2">
        <w:rPr>
          <w:rFonts w:cs="Arial"/>
        </w:rPr>
        <w:t xml:space="preserve"> 2025</w:t>
      </w:r>
    </w:p>
    <w:p w14:paraId="48F642D2" w14:textId="227C9592" w:rsidR="00C773AD" w:rsidRPr="005203F2" w:rsidRDefault="00311F9A" w:rsidP="007B08C1">
      <w:pPr>
        <w:pStyle w:val="Reference"/>
      </w:pPr>
      <w:r w:rsidRPr="00311F9A">
        <w:t>RP-252881</w:t>
      </w:r>
      <w:r>
        <w:t>,</w:t>
      </w:r>
      <w:r w:rsidRPr="00311F9A">
        <w:t xml:space="preserve"> </w:t>
      </w:r>
      <w:r>
        <w:t>”</w:t>
      </w:r>
      <w:r w:rsidRPr="00311F9A">
        <w:t xml:space="preserve">Way Forward on 6G </w:t>
      </w:r>
      <w:proofErr w:type="spellStart"/>
      <w:r w:rsidRPr="00311F9A">
        <w:t>Fronthaul</w:t>
      </w:r>
      <w:proofErr w:type="spellEnd"/>
      <w:r>
        <w:t>”, 3GPP TSG RAN#109 Meeting</w:t>
      </w:r>
      <w:r w:rsidRPr="00311F9A">
        <w:t>, Sep 15-18th, 2025</w:t>
      </w:r>
    </w:p>
    <w:sectPr w:rsidR="00C773AD" w:rsidRPr="005203F2" w:rsidSect="00C473A5">
      <w:headerReference w:type="even" r:id="rId12"/>
      <w:headerReference w:type="default"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5D66D" w16cex:dateUtc="2026-01-29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38A24D" w16cid:durableId="2D25D6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C40F7" w14:textId="77777777" w:rsidR="00D73DA0" w:rsidRDefault="00D73DA0">
      <w:r>
        <w:separator/>
      </w:r>
    </w:p>
  </w:endnote>
  <w:endnote w:type="continuationSeparator" w:id="0">
    <w:p w14:paraId="5D1054BA" w14:textId="77777777" w:rsidR="00D73DA0" w:rsidRDefault="00D73DA0">
      <w:r>
        <w:continuationSeparator/>
      </w:r>
    </w:p>
  </w:endnote>
  <w:endnote w:type="continuationNotice" w:id="1">
    <w:p w14:paraId="5466C673" w14:textId="77777777" w:rsidR="00D73DA0" w:rsidRDefault="00D73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45BAF" w14:textId="25DBFD87" w:rsidR="00FD02E3" w:rsidRDefault="00FD02E3" w:rsidP="00FD02E3">
    <w:pPr>
      <w:pStyle w:val="Pieddepage"/>
      <w:tabs>
        <w:tab w:val="center" w:pos="4820"/>
        <w:tab w:val="right" w:pos="9639"/>
      </w:tabs>
      <w:jc w:val="left"/>
    </w:pPr>
    <w:bookmarkStart w:id="6" w:name="TITUS1FooterPrimary"/>
    <w:r w:rsidRPr="00DB4414">
      <w:rPr>
        <w:b w:val="0"/>
        <w:i w:val="0"/>
        <w:color w:val="FFFFFF"/>
        <w:sz w:val="17"/>
      </w:rPr>
      <w:t>.</w:t>
    </w:r>
    <w:bookmarkEnd w:id="6"/>
  </w:p>
  <w:p w14:paraId="28EE75CE" w14:textId="7F7FD4EA" w:rsidR="00795BED" w:rsidRDefault="00795BED"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3E1B3C">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3E1B3C">
      <w:rPr>
        <w:rStyle w:val="Numrodepage"/>
      </w:rPr>
      <w:t>7</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DC34D" w14:textId="77777777" w:rsidR="00D73DA0" w:rsidRDefault="00D73DA0">
      <w:r>
        <w:separator/>
      </w:r>
    </w:p>
  </w:footnote>
  <w:footnote w:type="continuationSeparator" w:id="0">
    <w:p w14:paraId="045F0916" w14:textId="77777777" w:rsidR="00D73DA0" w:rsidRDefault="00D73DA0">
      <w:r>
        <w:continuationSeparator/>
      </w:r>
    </w:p>
  </w:footnote>
  <w:footnote w:type="continuationNotice" w:id="1">
    <w:p w14:paraId="20C34D7B" w14:textId="77777777" w:rsidR="00D73DA0" w:rsidRDefault="00D73D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795BED" w:rsidRDefault="00795BE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C4BA" w14:textId="6F0FBA4B" w:rsidR="00FD02E3" w:rsidRDefault="00FD02E3" w:rsidP="00FD02E3">
    <w:pPr>
      <w:pStyle w:val="En-tte"/>
    </w:pPr>
    <w:bookmarkStart w:id="5" w:name="TITUS1HeaderPrimary"/>
    <w:r w:rsidRPr="00DB4414">
      <w:rPr>
        <w:b w:val="0"/>
        <w:color w:val="FFFFFF"/>
        <w:sz w:val="17"/>
      </w:rPr>
      <w:t>.</w:t>
    </w:r>
    <w:bookmarkEnd w:id="5"/>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3.5pt;height:2in" o:bullet="t">
        <v:imagedata r:id="rId1" o:title="art2935"/>
      </v:shape>
    </w:pict>
  </w:numPicBullet>
  <w:abstractNum w:abstractNumId="0" w15:restartNumberingAfterBreak="0">
    <w:nsid w:val="FFFFFF7E"/>
    <w:multiLevelType w:val="singleLevel"/>
    <w:tmpl w:val="8D74240A"/>
    <w:lvl w:ilvl="0">
      <w:start w:val="1"/>
      <w:numFmt w:val="lowerRoman"/>
      <w:pStyle w:val="Listenumros3"/>
      <w:lvlText w:val="%1."/>
      <w:lvlJc w:val="right"/>
      <w:pPr>
        <w:ind w:left="926" w:hanging="360"/>
      </w:pPr>
    </w:lvl>
  </w:abstractNum>
  <w:abstractNum w:abstractNumId="1"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5F4298"/>
    <w:multiLevelType w:val="hybridMultilevel"/>
    <w:tmpl w:val="E814CC70"/>
    <w:lvl w:ilvl="0" w:tplc="040C0001">
      <w:start w:val="1"/>
      <w:numFmt w:val="bullet"/>
      <w:lvlText w:val=""/>
      <w:lvlJc w:val="left"/>
      <w:pPr>
        <w:ind w:left="2024" w:hanging="360"/>
      </w:pPr>
      <w:rPr>
        <w:rFonts w:ascii="Symbol" w:hAnsi="Symbol" w:hint="default"/>
      </w:rPr>
    </w:lvl>
    <w:lvl w:ilvl="1" w:tplc="040C0003">
      <w:start w:val="1"/>
      <w:numFmt w:val="bullet"/>
      <w:lvlText w:val="o"/>
      <w:lvlJc w:val="left"/>
      <w:pPr>
        <w:ind w:left="2744" w:hanging="360"/>
      </w:pPr>
      <w:rPr>
        <w:rFonts w:ascii="Courier New" w:hAnsi="Courier New" w:cs="Courier New" w:hint="default"/>
      </w:rPr>
    </w:lvl>
    <w:lvl w:ilvl="2" w:tplc="040C0005">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40938BD"/>
    <w:multiLevelType w:val="hybridMultilevel"/>
    <w:tmpl w:val="E76223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5AE0AF76"/>
    <w:lvl w:ilvl="0" w:tplc="B9B85E4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8A2400"/>
    <w:multiLevelType w:val="hybridMultilevel"/>
    <w:tmpl w:val="7F7C4480"/>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3167FE"/>
    <w:multiLevelType w:val="multilevel"/>
    <w:tmpl w:val="0B0C4DFA"/>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2493509"/>
    <w:multiLevelType w:val="hybridMultilevel"/>
    <w:tmpl w:val="8DC09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0"/>
  </w:num>
  <w:num w:numId="3">
    <w:abstractNumId w:val="12"/>
  </w:num>
  <w:num w:numId="4">
    <w:abstractNumId w:val="13"/>
  </w:num>
  <w:num w:numId="5">
    <w:abstractNumId w:val="15"/>
  </w:num>
  <w:num w:numId="6">
    <w:abstractNumId w:val="4"/>
  </w:num>
  <w:num w:numId="7">
    <w:abstractNumId w:val="7"/>
  </w:num>
  <w:num w:numId="8">
    <w:abstractNumId w:val="2"/>
  </w:num>
  <w:num w:numId="9">
    <w:abstractNumId w:val="21"/>
  </w:num>
  <w:num w:numId="10">
    <w:abstractNumId w:val="8"/>
  </w:num>
  <w:num w:numId="11">
    <w:abstractNumId w:val="17"/>
  </w:num>
  <w:num w:numId="12">
    <w:abstractNumId w:val="10"/>
  </w:num>
  <w:num w:numId="13">
    <w:abstractNumId w:val="18"/>
  </w:num>
  <w:num w:numId="14">
    <w:abstractNumId w:val="16"/>
  </w:num>
  <w:num w:numId="15">
    <w:abstractNumId w:val="6"/>
  </w:num>
  <w:num w:numId="16">
    <w:abstractNumId w:val="14"/>
  </w:num>
  <w:num w:numId="17">
    <w:abstractNumId w:val="20"/>
  </w:num>
  <w:num w:numId="18">
    <w:abstractNumId w:val="5"/>
  </w:num>
  <w:num w:numId="19">
    <w:abstractNumId w:val="9"/>
  </w:num>
  <w:num w:numId="20">
    <w:abstractNumId w:val="3"/>
  </w:num>
  <w:num w:numId="21">
    <w:abstractNumId w:val="10"/>
  </w:num>
  <w:num w:numId="22">
    <w:abstractNumId w:val="10"/>
  </w:num>
  <w:num w:numId="23">
    <w:abstractNumId w:val="19"/>
  </w:num>
  <w:num w:numId="24">
    <w:abstractNumId w:val="1"/>
  </w:num>
  <w:num w:numId="25">
    <w:abstractNumId w:val="10"/>
  </w:num>
  <w:num w:numId="26">
    <w:abstractNumId w:val="10"/>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fr-FR" w:vendorID="64" w:dllVersion="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474"/>
    <w:rsid w:val="00002875"/>
    <w:rsid w:val="00002A37"/>
    <w:rsid w:val="0000564C"/>
    <w:rsid w:val="00006446"/>
    <w:rsid w:val="00006896"/>
    <w:rsid w:val="00007CDC"/>
    <w:rsid w:val="00011A7B"/>
    <w:rsid w:val="00011B28"/>
    <w:rsid w:val="00011E3E"/>
    <w:rsid w:val="000145D8"/>
    <w:rsid w:val="00015D15"/>
    <w:rsid w:val="00017ACE"/>
    <w:rsid w:val="000216A0"/>
    <w:rsid w:val="0002564D"/>
    <w:rsid w:val="00025ECA"/>
    <w:rsid w:val="000264CE"/>
    <w:rsid w:val="0002771B"/>
    <w:rsid w:val="00031BEE"/>
    <w:rsid w:val="000325B8"/>
    <w:rsid w:val="00033535"/>
    <w:rsid w:val="00034C15"/>
    <w:rsid w:val="00036BA1"/>
    <w:rsid w:val="00036CE1"/>
    <w:rsid w:val="00036FEA"/>
    <w:rsid w:val="0003718F"/>
    <w:rsid w:val="000422E2"/>
    <w:rsid w:val="00042F22"/>
    <w:rsid w:val="000439B5"/>
    <w:rsid w:val="000444EF"/>
    <w:rsid w:val="000464B3"/>
    <w:rsid w:val="00047F7C"/>
    <w:rsid w:val="0005048D"/>
    <w:rsid w:val="000504F5"/>
    <w:rsid w:val="00051B0C"/>
    <w:rsid w:val="00051E08"/>
    <w:rsid w:val="00052A07"/>
    <w:rsid w:val="000534E3"/>
    <w:rsid w:val="00053736"/>
    <w:rsid w:val="000542E4"/>
    <w:rsid w:val="0005606A"/>
    <w:rsid w:val="00057117"/>
    <w:rsid w:val="000616E7"/>
    <w:rsid w:val="0006466F"/>
    <w:rsid w:val="0006487E"/>
    <w:rsid w:val="00064D74"/>
    <w:rsid w:val="00065E1A"/>
    <w:rsid w:val="00072F23"/>
    <w:rsid w:val="00077E5F"/>
    <w:rsid w:val="0008036A"/>
    <w:rsid w:val="00081473"/>
    <w:rsid w:val="00081AE6"/>
    <w:rsid w:val="00082741"/>
    <w:rsid w:val="000855EB"/>
    <w:rsid w:val="00085923"/>
    <w:rsid w:val="00085A43"/>
    <w:rsid w:val="00085B52"/>
    <w:rsid w:val="000866F2"/>
    <w:rsid w:val="0009009F"/>
    <w:rsid w:val="00091557"/>
    <w:rsid w:val="000924C1"/>
    <w:rsid w:val="000924F0"/>
    <w:rsid w:val="00092FFB"/>
    <w:rsid w:val="00093474"/>
    <w:rsid w:val="00093C82"/>
    <w:rsid w:val="0009510F"/>
    <w:rsid w:val="0009560D"/>
    <w:rsid w:val="000A1B7B"/>
    <w:rsid w:val="000A4520"/>
    <w:rsid w:val="000A56F2"/>
    <w:rsid w:val="000B1175"/>
    <w:rsid w:val="000B1844"/>
    <w:rsid w:val="000B2719"/>
    <w:rsid w:val="000B2F99"/>
    <w:rsid w:val="000B3A8F"/>
    <w:rsid w:val="000B4AB9"/>
    <w:rsid w:val="000B58C3"/>
    <w:rsid w:val="000B61E9"/>
    <w:rsid w:val="000C165A"/>
    <w:rsid w:val="000C2E19"/>
    <w:rsid w:val="000C46C6"/>
    <w:rsid w:val="000C4FC0"/>
    <w:rsid w:val="000C6D65"/>
    <w:rsid w:val="000D0D07"/>
    <w:rsid w:val="000D4797"/>
    <w:rsid w:val="000D5709"/>
    <w:rsid w:val="000D5DC7"/>
    <w:rsid w:val="000E0527"/>
    <w:rsid w:val="000E1E92"/>
    <w:rsid w:val="000F06D6"/>
    <w:rsid w:val="000F074A"/>
    <w:rsid w:val="000F0EB1"/>
    <w:rsid w:val="000F1106"/>
    <w:rsid w:val="000F3BE9"/>
    <w:rsid w:val="000F3F6C"/>
    <w:rsid w:val="000F5EBD"/>
    <w:rsid w:val="000F5EF1"/>
    <w:rsid w:val="000F6DF3"/>
    <w:rsid w:val="001005FF"/>
    <w:rsid w:val="00100AFF"/>
    <w:rsid w:val="00100C00"/>
    <w:rsid w:val="001037C6"/>
    <w:rsid w:val="00103953"/>
    <w:rsid w:val="001046E6"/>
    <w:rsid w:val="001062FB"/>
    <w:rsid w:val="001063E6"/>
    <w:rsid w:val="00113B9D"/>
    <w:rsid w:val="00113CF4"/>
    <w:rsid w:val="00114FB9"/>
    <w:rsid w:val="001153EA"/>
    <w:rsid w:val="00115643"/>
    <w:rsid w:val="00116765"/>
    <w:rsid w:val="001219F5"/>
    <w:rsid w:val="00121A20"/>
    <w:rsid w:val="00122D6D"/>
    <w:rsid w:val="0012377F"/>
    <w:rsid w:val="00124314"/>
    <w:rsid w:val="00124CCD"/>
    <w:rsid w:val="00125910"/>
    <w:rsid w:val="00126B4A"/>
    <w:rsid w:val="00132FD0"/>
    <w:rsid w:val="00134147"/>
    <w:rsid w:val="001344C0"/>
    <w:rsid w:val="001346FA"/>
    <w:rsid w:val="00135252"/>
    <w:rsid w:val="00136AC8"/>
    <w:rsid w:val="00137AB5"/>
    <w:rsid w:val="00137F0B"/>
    <w:rsid w:val="00140D59"/>
    <w:rsid w:val="00140E4D"/>
    <w:rsid w:val="001413FF"/>
    <w:rsid w:val="00142049"/>
    <w:rsid w:val="0014358B"/>
    <w:rsid w:val="0014541C"/>
    <w:rsid w:val="001457F5"/>
    <w:rsid w:val="00151777"/>
    <w:rsid w:val="00151E23"/>
    <w:rsid w:val="001526E0"/>
    <w:rsid w:val="0015408D"/>
    <w:rsid w:val="001551B5"/>
    <w:rsid w:val="00155B7F"/>
    <w:rsid w:val="00156DD8"/>
    <w:rsid w:val="00156F9A"/>
    <w:rsid w:val="00160157"/>
    <w:rsid w:val="0016226E"/>
    <w:rsid w:val="0016269F"/>
    <w:rsid w:val="0016419B"/>
    <w:rsid w:val="00164437"/>
    <w:rsid w:val="001659C1"/>
    <w:rsid w:val="001666CB"/>
    <w:rsid w:val="00170713"/>
    <w:rsid w:val="00173418"/>
    <w:rsid w:val="00173A8E"/>
    <w:rsid w:val="0017502C"/>
    <w:rsid w:val="0017647F"/>
    <w:rsid w:val="00176A6F"/>
    <w:rsid w:val="00176BE8"/>
    <w:rsid w:val="00177561"/>
    <w:rsid w:val="00180045"/>
    <w:rsid w:val="0018140A"/>
    <w:rsid w:val="0018143F"/>
    <w:rsid w:val="00181FF8"/>
    <w:rsid w:val="00184346"/>
    <w:rsid w:val="00185320"/>
    <w:rsid w:val="00190AC1"/>
    <w:rsid w:val="0019341A"/>
    <w:rsid w:val="00197DF9"/>
    <w:rsid w:val="001A1165"/>
    <w:rsid w:val="001A1987"/>
    <w:rsid w:val="001A2564"/>
    <w:rsid w:val="001A2811"/>
    <w:rsid w:val="001A38C2"/>
    <w:rsid w:val="001A59B0"/>
    <w:rsid w:val="001A6173"/>
    <w:rsid w:val="001A6CBA"/>
    <w:rsid w:val="001B02AF"/>
    <w:rsid w:val="001B0D97"/>
    <w:rsid w:val="001B3719"/>
    <w:rsid w:val="001B407D"/>
    <w:rsid w:val="001B5A5D"/>
    <w:rsid w:val="001B78F4"/>
    <w:rsid w:val="001C1CE5"/>
    <w:rsid w:val="001C3D2A"/>
    <w:rsid w:val="001C5CB8"/>
    <w:rsid w:val="001C7A20"/>
    <w:rsid w:val="001D32EB"/>
    <w:rsid w:val="001D51BA"/>
    <w:rsid w:val="001D53E7"/>
    <w:rsid w:val="001D5E2A"/>
    <w:rsid w:val="001D6342"/>
    <w:rsid w:val="001D6C45"/>
    <w:rsid w:val="001D6D53"/>
    <w:rsid w:val="001D74A3"/>
    <w:rsid w:val="001E4854"/>
    <w:rsid w:val="001E58E2"/>
    <w:rsid w:val="001E5B6E"/>
    <w:rsid w:val="001E7AED"/>
    <w:rsid w:val="001F0E14"/>
    <w:rsid w:val="001F3916"/>
    <w:rsid w:val="001F54C5"/>
    <w:rsid w:val="001F662C"/>
    <w:rsid w:val="001F6B8D"/>
    <w:rsid w:val="001F7074"/>
    <w:rsid w:val="00200490"/>
    <w:rsid w:val="00201219"/>
    <w:rsid w:val="00201F3A"/>
    <w:rsid w:val="00203F96"/>
    <w:rsid w:val="0020497F"/>
    <w:rsid w:val="00204EF5"/>
    <w:rsid w:val="0020582B"/>
    <w:rsid w:val="002062E2"/>
    <w:rsid w:val="002069B2"/>
    <w:rsid w:val="00207FA3"/>
    <w:rsid w:val="00214DA8"/>
    <w:rsid w:val="00215423"/>
    <w:rsid w:val="002158FA"/>
    <w:rsid w:val="002161B3"/>
    <w:rsid w:val="002202AC"/>
    <w:rsid w:val="00220600"/>
    <w:rsid w:val="002224DB"/>
    <w:rsid w:val="00223ED9"/>
    <w:rsid w:val="00223FCB"/>
    <w:rsid w:val="002252C3"/>
    <w:rsid w:val="00225C54"/>
    <w:rsid w:val="00227D62"/>
    <w:rsid w:val="00230765"/>
    <w:rsid w:val="00230D18"/>
    <w:rsid w:val="002319E4"/>
    <w:rsid w:val="00233F1E"/>
    <w:rsid w:val="00235632"/>
    <w:rsid w:val="00235872"/>
    <w:rsid w:val="00241559"/>
    <w:rsid w:val="002435B3"/>
    <w:rsid w:val="00243E36"/>
    <w:rsid w:val="00244E80"/>
    <w:rsid w:val="002458EB"/>
    <w:rsid w:val="002500C8"/>
    <w:rsid w:val="002508E6"/>
    <w:rsid w:val="00253503"/>
    <w:rsid w:val="00257543"/>
    <w:rsid w:val="00260078"/>
    <w:rsid w:val="002617E7"/>
    <w:rsid w:val="00264228"/>
    <w:rsid w:val="00264334"/>
    <w:rsid w:val="0026473E"/>
    <w:rsid w:val="00264B7E"/>
    <w:rsid w:val="00266214"/>
    <w:rsid w:val="00267C83"/>
    <w:rsid w:val="0027144F"/>
    <w:rsid w:val="00271813"/>
    <w:rsid w:val="00271A7D"/>
    <w:rsid w:val="00271F3A"/>
    <w:rsid w:val="00273278"/>
    <w:rsid w:val="002737F4"/>
    <w:rsid w:val="002805F5"/>
    <w:rsid w:val="00280751"/>
    <w:rsid w:val="00280D85"/>
    <w:rsid w:val="00281A4D"/>
    <w:rsid w:val="002820A8"/>
    <w:rsid w:val="0028280A"/>
    <w:rsid w:val="00286ACD"/>
    <w:rsid w:val="00287838"/>
    <w:rsid w:val="002907B5"/>
    <w:rsid w:val="00290F49"/>
    <w:rsid w:val="00291BEA"/>
    <w:rsid w:val="00292A82"/>
    <w:rsid w:val="00292EB7"/>
    <w:rsid w:val="0029504F"/>
    <w:rsid w:val="00296227"/>
    <w:rsid w:val="00296F44"/>
    <w:rsid w:val="0029777D"/>
    <w:rsid w:val="00297C72"/>
    <w:rsid w:val="002A055E"/>
    <w:rsid w:val="002A1D4E"/>
    <w:rsid w:val="002A2869"/>
    <w:rsid w:val="002A6C2C"/>
    <w:rsid w:val="002A79E7"/>
    <w:rsid w:val="002B1BDD"/>
    <w:rsid w:val="002B24D6"/>
    <w:rsid w:val="002B3379"/>
    <w:rsid w:val="002B37A2"/>
    <w:rsid w:val="002B6A91"/>
    <w:rsid w:val="002B7F30"/>
    <w:rsid w:val="002C0792"/>
    <w:rsid w:val="002C41E6"/>
    <w:rsid w:val="002D071A"/>
    <w:rsid w:val="002D23D7"/>
    <w:rsid w:val="002D3257"/>
    <w:rsid w:val="002D34B2"/>
    <w:rsid w:val="002D48B0"/>
    <w:rsid w:val="002D5B37"/>
    <w:rsid w:val="002D7637"/>
    <w:rsid w:val="002E0694"/>
    <w:rsid w:val="002E17F2"/>
    <w:rsid w:val="002E7CAE"/>
    <w:rsid w:val="002F2771"/>
    <w:rsid w:val="002F37A9"/>
    <w:rsid w:val="002F4B52"/>
    <w:rsid w:val="002F4ECB"/>
    <w:rsid w:val="00301CE6"/>
    <w:rsid w:val="0030256B"/>
    <w:rsid w:val="0030501F"/>
    <w:rsid w:val="00305C4E"/>
    <w:rsid w:val="003073A9"/>
    <w:rsid w:val="00307BA1"/>
    <w:rsid w:val="00311702"/>
    <w:rsid w:val="00311E82"/>
    <w:rsid w:val="00311F9A"/>
    <w:rsid w:val="00312F36"/>
    <w:rsid w:val="0031300A"/>
    <w:rsid w:val="00313FD6"/>
    <w:rsid w:val="003143BD"/>
    <w:rsid w:val="00314BAE"/>
    <w:rsid w:val="00315363"/>
    <w:rsid w:val="003173C6"/>
    <w:rsid w:val="003173F5"/>
    <w:rsid w:val="003203ED"/>
    <w:rsid w:val="00322C9F"/>
    <w:rsid w:val="00323BEC"/>
    <w:rsid w:val="003249CE"/>
    <w:rsid w:val="00324D23"/>
    <w:rsid w:val="003267B7"/>
    <w:rsid w:val="00327561"/>
    <w:rsid w:val="0033090B"/>
    <w:rsid w:val="00331751"/>
    <w:rsid w:val="00332A5C"/>
    <w:rsid w:val="00332BE2"/>
    <w:rsid w:val="003338C6"/>
    <w:rsid w:val="00334066"/>
    <w:rsid w:val="00334579"/>
    <w:rsid w:val="003349D4"/>
    <w:rsid w:val="00335858"/>
    <w:rsid w:val="00335AF9"/>
    <w:rsid w:val="00335D5B"/>
    <w:rsid w:val="00335EEE"/>
    <w:rsid w:val="00336BDA"/>
    <w:rsid w:val="00337016"/>
    <w:rsid w:val="00340023"/>
    <w:rsid w:val="003400AD"/>
    <w:rsid w:val="00342A4A"/>
    <w:rsid w:val="00342BD7"/>
    <w:rsid w:val="00346DB5"/>
    <w:rsid w:val="003477B1"/>
    <w:rsid w:val="00351D2E"/>
    <w:rsid w:val="00355902"/>
    <w:rsid w:val="00357380"/>
    <w:rsid w:val="003602D9"/>
    <w:rsid w:val="003604CE"/>
    <w:rsid w:val="00366F3D"/>
    <w:rsid w:val="00370E47"/>
    <w:rsid w:val="0037172B"/>
    <w:rsid w:val="00372997"/>
    <w:rsid w:val="00373D2C"/>
    <w:rsid w:val="003742AC"/>
    <w:rsid w:val="00377553"/>
    <w:rsid w:val="00377BCB"/>
    <w:rsid w:val="00377CE1"/>
    <w:rsid w:val="0038114C"/>
    <w:rsid w:val="00384FB2"/>
    <w:rsid w:val="00385607"/>
    <w:rsid w:val="00385BF0"/>
    <w:rsid w:val="00387186"/>
    <w:rsid w:val="003923EC"/>
    <w:rsid w:val="003939FF"/>
    <w:rsid w:val="00395CC7"/>
    <w:rsid w:val="00395D4A"/>
    <w:rsid w:val="003A11C2"/>
    <w:rsid w:val="003A2223"/>
    <w:rsid w:val="003A22EB"/>
    <w:rsid w:val="003A2A0F"/>
    <w:rsid w:val="003A2B53"/>
    <w:rsid w:val="003A45A1"/>
    <w:rsid w:val="003A5B0A"/>
    <w:rsid w:val="003A5B48"/>
    <w:rsid w:val="003A6BAC"/>
    <w:rsid w:val="003A70A4"/>
    <w:rsid w:val="003A7EF3"/>
    <w:rsid w:val="003B159C"/>
    <w:rsid w:val="003B25BC"/>
    <w:rsid w:val="003B369F"/>
    <w:rsid w:val="003B36A3"/>
    <w:rsid w:val="003B4C5A"/>
    <w:rsid w:val="003B632A"/>
    <w:rsid w:val="003B64BB"/>
    <w:rsid w:val="003B7FE5"/>
    <w:rsid w:val="003C02FD"/>
    <w:rsid w:val="003C0A00"/>
    <w:rsid w:val="003C11C8"/>
    <w:rsid w:val="003C2702"/>
    <w:rsid w:val="003C5BD9"/>
    <w:rsid w:val="003C6F7B"/>
    <w:rsid w:val="003C7806"/>
    <w:rsid w:val="003D109F"/>
    <w:rsid w:val="003D1B95"/>
    <w:rsid w:val="003D2478"/>
    <w:rsid w:val="003D28EA"/>
    <w:rsid w:val="003D3C45"/>
    <w:rsid w:val="003D48D2"/>
    <w:rsid w:val="003D5B1F"/>
    <w:rsid w:val="003D7738"/>
    <w:rsid w:val="003E0231"/>
    <w:rsid w:val="003E15FA"/>
    <w:rsid w:val="003E1B3C"/>
    <w:rsid w:val="003E3AA3"/>
    <w:rsid w:val="003E55E4"/>
    <w:rsid w:val="003E60E4"/>
    <w:rsid w:val="003E74E3"/>
    <w:rsid w:val="003F05C7"/>
    <w:rsid w:val="003F2CD4"/>
    <w:rsid w:val="003F46EE"/>
    <w:rsid w:val="003F5FBA"/>
    <w:rsid w:val="003F6329"/>
    <w:rsid w:val="003F64E4"/>
    <w:rsid w:val="003F6BBE"/>
    <w:rsid w:val="004000E8"/>
    <w:rsid w:val="00400439"/>
    <w:rsid w:val="00402E2B"/>
    <w:rsid w:val="0040512B"/>
    <w:rsid w:val="00405C8C"/>
    <w:rsid w:val="00405CA5"/>
    <w:rsid w:val="00407CD3"/>
    <w:rsid w:val="00410134"/>
    <w:rsid w:val="00410B72"/>
    <w:rsid w:val="00410F18"/>
    <w:rsid w:val="0041263E"/>
    <w:rsid w:val="00413AAC"/>
    <w:rsid w:val="00413E92"/>
    <w:rsid w:val="00413EDD"/>
    <w:rsid w:val="00416828"/>
    <w:rsid w:val="004169DE"/>
    <w:rsid w:val="00420370"/>
    <w:rsid w:val="00421105"/>
    <w:rsid w:val="00422610"/>
    <w:rsid w:val="00422AA4"/>
    <w:rsid w:val="004242F4"/>
    <w:rsid w:val="00427248"/>
    <w:rsid w:val="00427C57"/>
    <w:rsid w:val="00431317"/>
    <w:rsid w:val="004336B8"/>
    <w:rsid w:val="00435FF0"/>
    <w:rsid w:val="0043624B"/>
    <w:rsid w:val="00437447"/>
    <w:rsid w:val="00441A92"/>
    <w:rsid w:val="00441E23"/>
    <w:rsid w:val="004431DC"/>
    <w:rsid w:val="00443772"/>
    <w:rsid w:val="00444F56"/>
    <w:rsid w:val="00446488"/>
    <w:rsid w:val="004517AA"/>
    <w:rsid w:val="00452CAC"/>
    <w:rsid w:val="00452F0C"/>
    <w:rsid w:val="00453D9F"/>
    <w:rsid w:val="004564AA"/>
    <w:rsid w:val="00457565"/>
    <w:rsid w:val="00457B71"/>
    <w:rsid w:val="004669E2"/>
    <w:rsid w:val="00470C31"/>
    <w:rsid w:val="00471DE0"/>
    <w:rsid w:val="00472B41"/>
    <w:rsid w:val="004734D0"/>
    <w:rsid w:val="0047556B"/>
    <w:rsid w:val="00477768"/>
    <w:rsid w:val="00477E6B"/>
    <w:rsid w:val="00482004"/>
    <w:rsid w:val="004830F0"/>
    <w:rsid w:val="00484500"/>
    <w:rsid w:val="00487701"/>
    <w:rsid w:val="00492BC5"/>
    <w:rsid w:val="004964F1"/>
    <w:rsid w:val="004A0DA0"/>
    <w:rsid w:val="004A16BC"/>
    <w:rsid w:val="004A2B94"/>
    <w:rsid w:val="004A4B33"/>
    <w:rsid w:val="004B1D5E"/>
    <w:rsid w:val="004B2559"/>
    <w:rsid w:val="004B49EF"/>
    <w:rsid w:val="004B67E8"/>
    <w:rsid w:val="004B6F6A"/>
    <w:rsid w:val="004B7C0C"/>
    <w:rsid w:val="004C1151"/>
    <w:rsid w:val="004C2E75"/>
    <w:rsid w:val="004C3898"/>
    <w:rsid w:val="004C5CDD"/>
    <w:rsid w:val="004C6053"/>
    <w:rsid w:val="004C6842"/>
    <w:rsid w:val="004C788C"/>
    <w:rsid w:val="004D36B1"/>
    <w:rsid w:val="004D7EBD"/>
    <w:rsid w:val="004E0A0B"/>
    <w:rsid w:val="004E2680"/>
    <w:rsid w:val="004E28F9"/>
    <w:rsid w:val="004E3C59"/>
    <w:rsid w:val="004E462E"/>
    <w:rsid w:val="004E56DC"/>
    <w:rsid w:val="004E64C7"/>
    <w:rsid w:val="004E76F4"/>
    <w:rsid w:val="004F0B4E"/>
    <w:rsid w:val="004F0B6C"/>
    <w:rsid w:val="004F2078"/>
    <w:rsid w:val="004F4AD1"/>
    <w:rsid w:val="004F4DA3"/>
    <w:rsid w:val="00506557"/>
    <w:rsid w:val="0050677A"/>
    <w:rsid w:val="0050778A"/>
    <w:rsid w:val="005108D8"/>
    <w:rsid w:val="00510B38"/>
    <w:rsid w:val="005116F9"/>
    <w:rsid w:val="00513327"/>
    <w:rsid w:val="005138EF"/>
    <w:rsid w:val="005153A7"/>
    <w:rsid w:val="005203F2"/>
    <w:rsid w:val="00520ECB"/>
    <w:rsid w:val="005219B0"/>
    <w:rsid w:val="005219CF"/>
    <w:rsid w:val="00523E8F"/>
    <w:rsid w:val="00525412"/>
    <w:rsid w:val="00526F7F"/>
    <w:rsid w:val="0053252A"/>
    <w:rsid w:val="00532870"/>
    <w:rsid w:val="005338C5"/>
    <w:rsid w:val="00533A26"/>
    <w:rsid w:val="00534B59"/>
    <w:rsid w:val="0053662A"/>
    <w:rsid w:val="00536759"/>
    <w:rsid w:val="00537C62"/>
    <w:rsid w:val="005442EF"/>
    <w:rsid w:val="0054497B"/>
    <w:rsid w:val="0054584E"/>
    <w:rsid w:val="00546970"/>
    <w:rsid w:val="00547494"/>
    <w:rsid w:val="00552163"/>
    <w:rsid w:val="00552EF8"/>
    <w:rsid w:val="00554E19"/>
    <w:rsid w:val="0055767D"/>
    <w:rsid w:val="0056121F"/>
    <w:rsid w:val="00561B7F"/>
    <w:rsid w:val="00562C19"/>
    <w:rsid w:val="00563090"/>
    <w:rsid w:val="005642AE"/>
    <w:rsid w:val="00570672"/>
    <w:rsid w:val="005724BF"/>
    <w:rsid w:val="00572505"/>
    <w:rsid w:val="005761DC"/>
    <w:rsid w:val="0057799A"/>
    <w:rsid w:val="00582782"/>
    <w:rsid w:val="00582809"/>
    <w:rsid w:val="00585043"/>
    <w:rsid w:val="0058798C"/>
    <w:rsid w:val="005900FA"/>
    <w:rsid w:val="005935A4"/>
    <w:rsid w:val="005948C2"/>
    <w:rsid w:val="00595DCA"/>
    <w:rsid w:val="00596409"/>
    <w:rsid w:val="00597253"/>
    <w:rsid w:val="0059779B"/>
    <w:rsid w:val="005A0CB5"/>
    <w:rsid w:val="005A209A"/>
    <w:rsid w:val="005A4D02"/>
    <w:rsid w:val="005A662D"/>
    <w:rsid w:val="005A7F86"/>
    <w:rsid w:val="005B1409"/>
    <w:rsid w:val="005B2DAE"/>
    <w:rsid w:val="005B35D7"/>
    <w:rsid w:val="005B392A"/>
    <w:rsid w:val="005B3AA3"/>
    <w:rsid w:val="005B5442"/>
    <w:rsid w:val="005B6F83"/>
    <w:rsid w:val="005C019F"/>
    <w:rsid w:val="005C07DE"/>
    <w:rsid w:val="005C3125"/>
    <w:rsid w:val="005C4137"/>
    <w:rsid w:val="005C70B3"/>
    <w:rsid w:val="005C74FB"/>
    <w:rsid w:val="005D06E6"/>
    <w:rsid w:val="005D0E32"/>
    <w:rsid w:val="005D1602"/>
    <w:rsid w:val="005D2381"/>
    <w:rsid w:val="005D7DEF"/>
    <w:rsid w:val="005E0BD3"/>
    <w:rsid w:val="005E2346"/>
    <w:rsid w:val="005E385F"/>
    <w:rsid w:val="005E3DDC"/>
    <w:rsid w:val="005E5B81"/>
    <w:rsid w:val="005E718F"/>
    <w:rsid w:val="005E7399"/>
    <w:rsid w:val="005F0702"/>
    <w:rsid w:val="005F2CB1"/>
    <w:rsid w:val="005F3025"/>
    <w:rsid w:val="005F618C"/>
    <w:rsid w:val="005F70BD"/>
    <w:rsid w:val="00600705"/>
    <w:rsid w:val="0060283C"/>
    <w:rsid w:val="00604F14"/>
    <w:rsid w:val="00607040"/>
    <w:rsid w:val="00611B83"/>
    <w:rsid w:val="00612497"/>
    <w:rsid w:val="00613257"/>
    <w:rsid w:val="00615186"/>
    <w:rsid w:val="00620A71"/>
    <w:rsid w:val="00620D80"/>
    <w:rsid w:val="00622E79"/>
    <w:rsid w:val="006230CA"/>
    <w:rsid w:val="006234A6"/>
    <w:rsid w:val="00626653"/>
    <w:rsid w:val="00627A83"/>
    <w:rsid w:val="00630001"/>
    <w:rsid w:val="00630DE4"/>
    <w:rsid w:val="006311B3"/>
    <w:rsid w:val="0063284C"/>
    <w:rsid w:val="006340F7"/>
    <w:rsid w:val="006341AC"/>
    <w:rsid w:val="00636398"/>
    <w:rsid w:val="006368D3"/>
    <w:rsid w:val="006377EC"/>
    <w:rsid w:val="0064151F"/>
    <w:rsid w:val="00641533"/>
    <w:rsid w:val="0064208D"/>
    <w:rsid w:val="006420A7"/>
    <w:rsid w:val="00643475"/>
    <w:rsid w:val="0064396A"/>
    <w:rsid w:val="006443E5"/>
    <w:rsid w:val="00645AF8"/>
    <w:rsid w:val="00645D6A"/>
    <w:rsid w:val="0064624E"/>
    <w:rsid w:val="00647E3F"/>
    <w:rsid w:val="00650A2B"/>
    <w:rsid w:val="00650AB9"/>
    <w:rsid w:val="006534F4"/>
    <w:rsid w:val="00655733"/>
    <w:rsid w:val="00655ACD"/>
    <w:rsid w:val="00656A92"/>
    <w:rsid w:val="00656DDE"/>
    <w:rsid w:val="0065716D"/>
    <w:rsid w:val="00657C5C"/>
    <w:rsid w:val="0066011D"/>
    <w:rsid w:val="006607C0"/>
    <w:rsid w:val="006613A6"/>
    <w:rsid w:val="006627A2"/>
    <w:rsid w:val="006634E6"/>
    <w:rsid w:val="006655EE"/>
    <w:rsid w:val="00665FBD"/>
    <w:rsid w:val="00666120"/>
    <w:rsid w:val="00667EE7"/>
    <w:rsid w:val="006707A1"/>
    <w:rsid w:val="00670922"/>
    <w:rsid w:val="00670BE1"/>
    <w:rsid w:val="006718F0"/>
    <w:rsid w:val="0067218F"/>
    <w:rsid w:val="006741F2"/>
    <w:rsid w:val="00674CC3"/>
    <w:rsid w:val="00675C72"/>
    <w:rsid w:val="00676A2C"/>
    <w:rsid w:val="006771F9"/>
    <w:rsid w:val="006776D7"/>
    <w:rsid w:val="00681003"/>
    <w:rsid w:val="006817C9"/>
    <w:rsid w:val="0068366B"/>
    <w:rsid w:val="00683ECE"/>
    <w:rsid w:val="0069218F"/>
    <w:rsid w:val="00692B17"/>
    <w:rsid w:val="00694F78"/>
    <w:rsid w:val="00695FC2"/>
    <w:rsid w:val="00696949"/>
    <w:rsid w:val="00696F36"/>
    <w:rsid w:val="00697052"/>
    <w:rsid w:val="006A0A0C"/>
    <w:rsid w:val="006A18C4"/>
    <w:rsid w:val="006A1F32"/>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2EBF"/>
    <w:rsid w:val="006C3C35"/>
    <w:rsid w:val="006C56F9"/>
    <w:rsid w:val="006C5C73"/>
    <w:rsid w:val="006C5EC9"/>
    <w:rsid w:val="006C6059"/>
    <w:rsid w:val="006C7522"/>
    <w:rsid w:val="006D3285"/>
    <w:rsid w:val="006D4F80"/>
    <w:rsid w:val="006D5C2F"/>
    <w:rsid w:val="006D6633"/>
    <w:rsid w:val="006D6F08"/>
    <w:rsid w:val="006D7135"/>
    <w:rsid w:val="006E062C"/>
    <w:rsid w:val="006E1C82"/>
    <w:rsid w:val="006E28B7"/>
    <w:rsid w:val="006E2A9B"/>
    <w:rsid w:val="006E3310"/>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EDB"/>
    <w:rsid w:val="00706101"/>
    <w:rsid w:val="00707072"/>
    <w:rsid w:val="00707197"/>
    <w:rsid w:val="00707D61"/>
    <w:rsid w:val="00712198"/>
    <w:rsid w:val="00712287"/>
    <w:rsid w:val="00712772"/>
    <w:rsid w:val="007148D3"/>
    <w:rsid w:val="00715B9A"/>
    <w:rsid w:val="00717C0D"/>
    <w:rsid w:val="00720A18"/>
    <w:rsid w:val="00720ED9"/>
    <w:rsid w:val="00721E52"/>
    <w:rsid w:val="007223BF"/>
    <w:rsid w:val="00722BA1"/>
    <w:rsid w:val="00724EF7"/>
    <w:rsid w:val="007257D0"/>
    <w:rsid w:val="00726EA6"/>
    <w:rsid w:val="00727208"/>
    <w:rsid w:val="00727680"/>
    <w:rsid w:val="00731D4E"/>
    <w:rsid w:val="00732B7B"/>
    <w:rsid w:val="007348B1"/>
    <w:rsid w:val="007362A6"/>
    <w:rsid w:val="00736D7D"/>
    <w:rsid w:val="00740E58"/>
    <w:rsid w:val="0074381A"/>
    <w:rsid w:val="007445A0"/>
    <w:rsid w:val="0074524B"/>
    <w:rsid w:val="0074799D"/>
    <w:rsid w:val="00747B62"/>
    <w:rsid w:val="00747D8B"/>
    <w:rsid w:val="00751228"/>
    <w:rsid w:val="00753B29"/>
    <w:rsid w:val="007549D8"/>
    <w:rsid w:val="007558BC"/>
    <w:rsid w:val="007571E1"/>
    <w:rsid w:val="00757A16"/>
    <w:rsid w:val="007604B2"/>
    <w:rsid w:val="00761CCC"/>
    <w:rsid w:val="00763414"/>
    <w:rsid w:val="00765281"/>
    <w:rsid w:val="00766BAD"/>
    <w:rsid w:val="00770DE1"/>
    <w:rsid w:val="007729A2"/>
    <w:rsid w:val="0077443D"/>
    <w:rsid w:val="0077537B"/>
    <w:rsid w:val="007755F2"/>
    <w:rsid w:val="00776971"/>
    <w:rsid w:val="00777151"/>
    <w:rsid w:val="00780A80"/>
    <w:rsid w:val="0078177E"/>
    <w:rsid w:val="0078304C"/>
    <w:rsid w:val="00783673"/>
    <w:rsid w:val="00783E21"/>
    <w:rsid w:val="00783E96"/>
    <w:rsid w:val="00785490"/>
    <w:rsid w:val="007925EA"/>
    <w:rsid w:val="00792F91"/>
    <w:rsid w:val="00793CD8"/>
    <w:rsid w:val="00795BED"/>
    <w:rsid w:val="00795C92"/>
    <w:rsid w:val="00796231"/>
    <w:rsid w:val="00797257"/>
    <w:rsid w:val="007A1CB3"/>
    <w:rsid w:val="007A306F"/>
    <w:rsid w:val="007A3648"/>
    <w:rsid w:val="007A43A6"/>
    <w:rsid w:val="007A58A6"/>
    <w:rsid w:val="007A67C8"/>
    <w:rsid w:val="007A7310"/>
    <w:rsid w:val="007A7990"/>
    <w:rsid w:val="007B08C1"/>
    <w:rsid w:val="007B1F06"/>
    <w:rsid w:val="007B3D2D"/>
    <w:rsid w:val="007B50AE"/>
    <w:rsid w:val="007B51DF"/>
    <w:rsid w:val="007C015E"/>
    <w:rsid w:val="007C05DD"/>
    <w:rsid w:val="007C1B8D"/>
    <w:rsid w:val="007C3D18"/>
    <w:rsid w:val="007C4971"/>
    <w:rsid w:val="007C60BF"/>
    <w:rsid w:val="007C6A07"/>
    <w:rsid w:val="007C717B"/>
    <w:rsid w:val="007C75A1"/>
    <w:rsid w:val="007C77A5"/>
    <w:rsid w:val="007D04E5"/>
    <w:rsid w:val="007D2362"/>
    <w:rsid w:val="007D3420"/>
    <w:rsid w:val="007D5901"/>
    <w:rsid w:val="007D7526"/>
    <w:rsid w:val="007E16F6"/>
    <w:rsid w:val="007E4610"/>
    <w:rsid w:val="007E4715"/>
    <w:rsid w:val="007E505B"/>
    <w:rsid w:val="007E7091"/>
    <w:rsid w:val="007F7280"/>
    <w:rsid w:val="00803BBD"/>
    <w:rsid w:val="00803FAE"/>
    <w:rsid w:val="0080605F"/>
    <w:rsid w:val="00807786"/>
    <w:rsid w:val="00811FCB"/>
    <w:rsid w:val="008129EB"/>
    <w:rsid w:val="008158D6"/>
    <w:rsid w:val="00817196"/>
    <w:rsid w:val="00822639"/>
    <w:rsid w:val="008235DB"/>
    <w:rsid w:val="00823EC1"/>
    <w:rsid w:val="00824AB4"/>
    <w:rsid w:val="00825C42"/>
    <w:rsid w:val="00825D25"/>
    <w:rsid w:val="00826E8F"/>
    <w:rsid w:val="00827459"/>
    <w:rsid w:val="00827ABE"/>
    <w:rsid w:val="00827D6F"/>
    <w:rsid w:val="00830FA7"/>
    <w:rsid w:val="0083229F"/>
    <w:rsid w:val="00833EDF"/>
    <w:rsid w:val="0083493C"/>
    <w:rsid w:val="008376AC"/>
    <w:rsid w:val="008444E8"/>
    <w:rsid w:val="00844E80"/>
    <w:rsid w:val="00845E1B"/>
    <w:rsid w:val="00846FE7"/>
    <w:rsid w:val="0085061D"/>
    <w:rsid w:val="008534F8"/>
    <w:rsid w:val="00854EE1"/>
    <w:rsid w:val="00855C21"/>
    <w:rsid w:val="00856911"/>
    <w:rsid w:val="00856D0C"/>
    <w:rsid w:val="008635CE"/>
    <w:rsid w:val="00863C42"/>
    <w:rsid w:val="008677FD"/>
    <w:rsid w:val="008706D4"/>
    <w:rsid w:val="00870F8A"/>
    <w:rsid w:val="008719A4"/>
    <w:rsid w:val="00871D23"/>
    <w:rsid w:val="00874312"/>
    <w:rsid w:val="0087437C"/>
    <w:rsid w:val="00875CD7"/>
    <w:rsid w:val="00876B4D"/>
    <w:rsid w:val="00877F18"/>
    <w:rsid w:val="0089159B"/>
    <w:rsid w:val="0089230A"/>
    <w:rsid w:val="00892DD2"/>
    <w:rsid w:val="00893F8A"/>
    <w:rsid w:val="008941E3"/>
    <w:rsid w:val="00894A88"/>
    <w:rsid w:val="00895386"/>
    <w:rsid w:val="0089588C"/>
    <w:rsid w:val="008975E1"/>
    <w:rsid w:val="008A21FF"/>
    <w:rsid w:val="008A2CE2"/>
    <w:rsid w:val="008A30AC"/>
    <w:rsid w:val="008A44B8"/>
    <w:rsid w:val="008A4E79"/>
    <w:rsid w:val="008A51A8"/>
    <w:rsid w:val="008A54C7"/>
    <w:rsid w:val="008A673E"/>
    <w:rsid w:val="008A77D8"/>
    <w:rsid w:val="008B0483"/>
    <w:rsid w:val="008B120C"/>
    <w:rsid w:val="008B51A0"/>
    <w:rsid w:val="008B592A"/>
    <w:rsid w:val="008B5D64"/>
    <w:rsid w:val="008B6C44"/>
    <w:rsid w:val="008B7B5C"/>
    <w:rsid w:val="008C0C99"/>
    <w:rsid w:val="008C2017"/>
    <w:rsid w:val="008C4958"/>
    <w:rsid w:val="008C4BAA"/>
    <w:rsid w:val="008C6AE8"/>
    <w:rsid w:val="008C7573"/>
    <w:rsid w:val="008D00A5"/>
    <w:rsid w:val="008D0E9A"/>
    <w:rsid w:val="008D34F1"/>
    <w:rsid w:val="008D39D8"/>
    <w:rsid w:val="008D6D1A"/>
    <w:rsid w:val="008E065E"/>
    <w:rsid w:val="008E0927"/>
    <w:rsid w:val="008E1909"/>
    <w:rsid w:val="008E1A39"/>
    <w:rsid w:val="008E2EEF"/>
    <w:rsid w:val="008E55D8"/>
    <w:rsid w:val="008E6D8C"/>
    <w:rsid w:val="008F0B70"/>
    <w:rsid w:val="008F1EAB"/>
    <w:rsid w:val="008F33DC"/>
    <w:rsid w:val="008F459D"/>
    <w:rsid w:val="008F477F"/>
    <w:rsid w:val="008F7A99"/>
    <w:rsid w:val="00900A41"/>
    <w:rsid w:val="00902350"/>
    <w:rsid w:val="0090294E"/>
    <w:rsid w:val="0090336B"/>
    <w:rsid w:val="009053AA"/>
    <w:rsid w:val="00906939"/>
    <w:rsid w:val="009071F1"/>
    <w:rsid w:val="00910767"/>
    <w:rsid w:val="00910B7D"/>
    <w:rsid w:val="00911DFB"/>
    <w:rsid w:val="009139D9"/>
    <w:rsid w:val="00913D49"/>
    <w:rsid w:val="00914AD8"/>
    <w:rsid w:val="00916079"/>
    <w:rsid w:val="00917CE9"/>
    <w:rsid w:val="00920BF2"/>
    <w:rsid w:val="0092104E"/>
    <w:rsid w:val="0092177C"/>
    <w:rsid w:val="00922010"/>
    <w:rsid w:val="00922462"/>
    <w:rsid w:val="00924269"/>
    <w:rsid w:val="00924B33"/>
    <w:rsid w:val="0092596C"/>
    <w:rsid w:val="0092710E"/>
    <w:rsid w:val="00930386"/>
    <w:rsid w:val="00931AAB"/>
    <w:rsid w:val="00931BD9"/>
    <w:rsid w:val="0093352F"/>
    <w:rsid w:val="009368F3"/>
    <w:rsid w:val="00937B32"/>
    <w:rsid w:val="00940708"/>
    <w:rsid w:val="00940C08"/>
    <w:rsid w:val="00941636"/>
    <w:rsid w:val="00943742"/>
    <w:rsid w:val="00943A64"/>
    <w:rsid w:val="00943CA6"/>
    <w:rsid w:val="00944666"/>
    <w:rsid w:val="00945C05"/>
    <w:rsid w:val="00946945"/>
    <w:rsid w:val="00947427"/>
    <w:rsid w:val="00947713"/>
    <w:rsid w:val="009478C2"/>
    <w:rsid w:val="00950D33"/>
    <w:rsid w:val="00950DE7"/>
    <w:rsid w:val="00952423"/>
    <w:rsid w:val="00952543"/>
    <w:rsid w:val="00953920"/>
    <w:rsid w:val="009539A1"/>
    <w:rsid w:val="00953D47"/>
    <w:rsid w:val="009552AC"/>
    <w:rsid w:val="0095681E"/>
    <w:rsid w:val="009571BD"/>
    <w:rsid w:val="009572D4"/>
    <w:rsid w:val="00960CD9"/>
    <w:rsid w:val="00961921"/>
    <w:rsid w:val="0096430A"/>
    <w:rsid w:val="0096554B"/>
    <w:rsid w:val="0096584A"/>
    <w:rsid w:val="00965BE1"/>
    <w:rsid w:val="0097014A"/>
    <w:rsid w:val="00970622"/>
    <w:rsid w:val="00971F08"/>
    <w:rsid w:val="0097603D"/>
    <w:rsid w:val="00976949"/>
    <w:rsid w:val="00976D9B"/>
    <w:rsid w:val="00977D33"/>
    <w:rsid w:val="00977F98"/>
    <w:rsid w:val="00980477"/>
    <w:rsid w:val="00983953"/>
    <w:rsid w:val="00985253"/>
    <w:rsid w:val="009853B3"/>
    <w:rsid w:val="00990630"/>
    <w:rsid w:val="00990681"/>
    <w:rsid w:val="00990CDB"/>
    <w:rsid w:val="00991761"/>
    <w:rsid w:val="00991AE2"/>
    <w:rsid w:val="00992CBE"/>
    <w:rsid w:val="0099414D"/>
    <w:rsid w:val="00994DCA"/>
    <w:rsid w:val="009960EC"/>
    <w:rsid w:val="009970DD"/>
    <w:rsid w:val="00997AE7"/>
    <w:rsid w:val="009A01A0"/>
    <w:rsid w:val="009A0978"/>
    <w:rsid w:val="009A0FBA"/>
    <w:rsid w:val="009A133B"/>
    <w:rsid w:val="009A1601"/>
    <w:rsid w:val="009A274A"/>
    <w:rsid w:val="009A298C"/>
    <w:rsid w:val="009A3BB6"/>
    <w:rsid w:val="009A3D91"/>
    <w:rsid w:val="009A462D"/>
    <w:rsid w:val="009A5CBA"/>
    <w:rsid w:val="009A6635"/>
    <w:rsid w:val="009B080A"/>
    <w:rsid w:val="009B1303"/>
    <w:rsid w:val="009B1F30"/>
    <w:rsid w:val="009B2137"/>
    <w:rsid w:val="009B3AC2"/>
    <w:rsid w:val="009B4DF4"/>
    <w:rsid w:val="009B4E25"/>
    <w:rsid w:val="009B564E"/>
    <w:rsid w:val="009B5C28"/>
    <w:rsid w:val="009B788B"/>
    <w:rsid w:val="009B7E87"/>
    <w:rsid w:val="009C0169"/>
    <w:rsid w:val="009C403E"/>
    <w:rsid w:val="009C701A"/>
    <w:rsid w:val="009D2FF4"/>
    <w:rsid w:val="009D4F2B"/>
    <w:rsid w:val="009D4FF0"/>
    <w:rsid w:val="009D703C"/>
    <w:rsid w:val="009D718F"/>
    <w:rsid w:val="009D7CE4"/>
    <w:rsid w:val="009E068F"/>
    <w:rsid w:val="009E14E0"/>
    <w:rsid w:val="009E35DB"/>
    <w:rsid w:val="009E47A3"/>
    <w:rsid w:val="009E5A29"/>
    <w:rsid w:val="009F08F3"/>
    <w:rsid w:val="009F344F"/>
    <w:rsid w:val="009F4AF8"/>
    <w:rsid w:val="009F61FD"/>
    <w:rsid w:val="009F69EB"/>
    <w:rsid w:val="009F7AE0"/>
    <w:rsid w:val="00A01498"/>
    <w:rsid w:val="00A020DA"/>
    <w:rsid w:val="00A03143"/>
    <w:rsid w:val="00A031D8"/>
    <w:rsid w:val="00A048A8"/>
    <w:rsid w:val="00A04F49"/>
    <w:rsid w:val="00A11DBB"/>
    <w:rsid w:val="00A1362C"/>
    <w:rsid w:val="00A13E54"/>
    <w:rsid w:val="00A15C1F"/>
    <w:rsid w:val="00A17F63"/>
    <w:rsid w:val="00A212A2"/>
    <w:rsid w:val="00A2193B"/>
    <w:rsid w:val="00A2351A"/>
    <w:rsid w:val="00A2382A"/>
    <w:rsid w:val="00A264A9"/>
    <w:rsid w:val="00A26901"/>
    <w:rsid w:val="00A26DCF"/>
    <w:rsid w:val="00A27785"/>
    <w:rsid w:val="00A30187"/>
    <w:rsid w:val="00A305AA"/>
    <w:rsid w:val="00A30A49"/>
    <w:rsid w:val="00A335A3"/>
    <w:rsid w:val="00A3448A"/>
    <w:rsid w:val="00A36297"/>
    <w:rsid w:val="00A37CF5"/>
    <w:rsid w:val="00A41E2B"/>
    <w:rsid w:val="00A42320"/>
    <w:rsid w:val="00A42433"/>
    <w:rsid w:val="00A45B74"/>
    <w:rsid w:val="00A46A55"/>
    <w:rsid w:val="00A46E16"/>
    <w:rsid w:val="00A46F00"/>
    <w:rsid w:val="00A52E1D"/>
    <w:rsid w:val="00A565DE"/>
    <w:rsid w:val="00A573B2"/>
    <w:rsid w:val="00A573F6"/>
    <w:rsid w:val="00A609FB"/>
    <w:rsid w:val="00A61499"/>
    <w:rsid w:val="00A61F74"/>
    <w:rsid w:val="00A62A77"/>
    <w:rsid w:val="00A63483"/>
    <w:rsid w:val="00A63DB4"/>
    <w:rsid w:val="00A64225"/>
    <w:rsid w:val="00A657D7"/>
    <w:rsid w:val="00A660AC"/>
    <w:rsid w:val="00A67E6C"/>
    <w:rsid w:val="00A71B99"/>
    <w:rsid w:val="00A7388E"/>
    <w:rsid w:val="00A739D0"/>
    <w:rsid w:val="00A761D4"/>
    <w:rsid w:val="00A76CE2"/>
    <w:rsid w:val="00A77EC4"/>
    <w:rsid w:val="00A800CA"/>
    <w:rsid w:val="00A851E6"/>
    <w:rsid w:val="00A8792A"/>
    <w:rsid w:val="00A92879"/>
    <w:rsid w:val="00A9442A"/>
    <w:rsid w:val="00A954DF"/>
    <w:rsid w:val="00A9580E"/>
    <w:rsid w:val="00A975BF"/>
    <w:rsid w:val="00AA016F"/>
    <w:rsid w:val="00AA10F0"/>
    <w:rsid w:val="00AA1CFD"/>
    <w:rsid w:val="00AA1ED6"/>
    <w:rsid w:val="00AA51D6"/>
    <w:rsid w:val="00AB0BC8"/>
    <w:rsid w:val="00AB11CA"/>
    <w:rsid w:val="00AB14D9"/>
    <w:rsid w:val="00AB3696"/>
    <w:rsid w:val="00AB4AB8"/>
    <w:rsid w:val="00AB655E"/>
    <w:rsid w:val="00AC007F"/>
    <w:rsid w:val="00AC2ECD"/>
    <w:rsid w:val="00AC3119"/>
    <w:rsid w:val="00AC3D69"/>
    <w:rsid w:val="00AC40F2"/>
    <w:rsid w:val="00AC49FB"/>
    <w:rsid w:val="00AC5A10"/>
    <w:rsid w:val="00AC7407"/>
    <w:rsid w:val="00AD0AA3"/>
    <w:rsid w:val="00AD1ADD"/>
    <w:rsid w:val="00AD3F94"/>
    <w:rsid w:val="00AD4A5A"/>
    <w:rsid w:val="00AD6FAF"/>
    <w:rsid w:val="00AD762D"/>
    <w:rsid w:val="00AE01E1"/>
    <w:rsid w:val="00AE27AC"/>
    <w:rsid w:val="00AE40E0"/>
    <w:rsid w:val="00AE4DBA"/>
    <w:rsid w:val="00AE4F07"/>
    <w:rsid w:val="00AF15F3"/>
    <w:rsid w:val="00AF1C5D"/>
    <w:rsid w:val="00AF38D0"/>
    <w:rsid w:val="00AF42D7"/>
    <w:rsid w:val="00B006FE"/>
    <w:rsid w:val="00B007CB"/>
    <w:rsid w:val="00B02AA9"/>
    <w:rsid w:val="00B02FA3"/>
    <w:rsid w:val="00B05084"/>
    <w:rsid w:val="00B10925"/>
    <w:rsid w:val="00B14EE0"/>
    <w:rsid w:val="00B157F9"/>
    <w:rsid w:val="00B164AD"/>
    <w:rsid w:val="00B17665"/>
    <w:rsid w:val="00B20256"/>
    <w:rsid w:val="00B20D09"/>
    <w:rsid w:val="00B228AE"/>
    <w:rsid w:val="00B271B3"/>
    <w:rsid w:val="00B2763F"/>
    <w:rsid w:val="00B27AAC"/>
    <w:rsid w:val="00B30929"/>
    <w:rsid w:val="00B30C36"/>
    <w:rsid w:val="00B3172F"/>
    <w:rsid w:val="00B348E0"/>
    <w:rsid w:val="00B35037"/>
    <w:rsid w:val="00B35BF4"/>
    <w:rsid w:val="00B372AA"/>
    <w:rsid w:val="00B40445"/>
    <w:rsid w:val="00B409E0"/>
    <w:rsid w:val="00B41888"/>
    <w:rsid w:val="00B41E92"/>
    <w:rsid w:val="00B44DBD"/>
    <w:rsid w:val="00B45A52"/>
    <w:rsid w:val="00B46175"/>
    <w:rsid w:val="00B47EC2"/>
    <w:rsid w:val="00B5116B"/>
    <w:rsid w:val="00B54083"/>
    <w:rsid w:val="00B548B7"/>
    <w:rsid w:val="00B558ED"/>
    <w:rsid w:val="00B55E00"/>
    <w:rsid w:val="00B56D3D"/>
    <w:rsid w:val="00B61DFA"/>
    <w:rsid w:val="00B64215"/>
    <w:rsid w:val="00B664C7"/>
    <w:rsid w:val="00B739F6"/>
    <w:rsid w:val="00B74722"/>
    <w:rsid w:val="00B749BA"/>
    <w:rsid w:val="00B76807"/>
    <w:rsid w:val="00B81A6C"/>
    <w:rsid w:val="00B826D1"/>
    <w:rsid w:val="00B83E88"/>
    <w:rsid w:val="00B85DE5"/>
    <w:rsid w:val="00B90F73"/>
    <w:rsid w:val="00B92390"/>
    <w:rsid w:val="00B93B59"/>
    <w:rsid w:val="00B9406A"/>
    <w:rsid w:val="00B95EE1"/>
    <w:rsid w:val="00BA2280"/>
    <w:rsid w:val="00BA2A08"/>
    <w:rsid w:val="00BA3E67"/>
    <w:rsid w:val="00BA4E02"/>
    <w:rsid w:val="00BA517F"/>
    <w:rsid w:val="00BA56D2"/>
    <w:rsid w:val="00BA56DF"/>
    <w:rsid w:val="00BA58A0"/>
    <w:rsid w:val="00BA76E0"/>
    <w:rsid w:val="00BB2A25"/>
    <w:rsid w:val="00BB3AE4"/>
    <w:rsid w:val="00BB3EF9"/>
    <w:rsid w:val="00BB51E9"/>
    <w:rsid w:val="00BB5B65"/>
    <w:rsid w:val="00BB7143"/>
    <w:rsid w:val="00BC0FDC"/>
    <w:rsid w:val="00BC1239"/>
    <w:rsid w:val="00BC3053"/>
    <w:rsid w:val="00BC3C5A"/>
    <w:rsid w:val="00BC4D2E"/>
    <w:rsid w:val="00BC7837"/>
    <w:rsid w:val="00BC7A46"/>
    <w:rsid w:val="00BD0428"/>
    <w:rsid w:val="00BD09C9"/>
    <w:rsid w:val="00BD18B6"/>
    <w:rsid w:val="00BD2AF3"/>
    <w:rsid w:val="00BD48AC"/>
    <w:rsid w:val="00BD5F1A"/>
    <w:rsid w:val="00BE0960"/>
    <w:rsid w:val="00BE1234"/>
    <w:rsid w:val="00BE2FA6"/>
    <w:rsid w:val="00BE333F"/>
    <w:rsid w:val="00BE7406"/>
    <w:rsid w:val="00BE7603"/>
    <w:rsid w:val="00BF1F36"/>
    <w:rsid w:val="00BF3279"/>
    <w:rsid w:val="00BF5AA9"/>
    <w:rsid w:val="00BF74C7"/>
    <w:rsid w:val="00BF795A"/>
    <w:rsid w:val="00C01269"/>
    <w:rsid w:val="00C015F1"/>
    <w:rsid w:val="00C016AA"/>
    <w:rsid w:val="00C01F33"/>
    <w:rsid w:val="00C02CC6"/>
    <w:rsid w:val="00C03613"/>
    <w:rsid w:val="00C040F7"/>
    <w:rsid w:val="00C044AB"/>
    <w:rsid w:val="00C05706"/>
    <w:rsid w:val="00C05B14"/>
    <w:rsid w:val="00C06C54"/>
    <w:rsid w:val="00C07269"/>
    <w:rsid w:val="00C07377"/>
    <w:rsid w:val="00C10478"/>
    <w:rsid w:val="00C12107"/>
    <w:rsid w:val="00C14D4B"/>
    <w:rsid w:val="00C154BB"/>
    <w:rsid w:val="00C15EBD"/>
    <w:rsid w:val="00C22466"/>
    <w:rsid w:val="00C268E6"/>
    <w:rsid w:val="00C279B5"/>
    <w:rsid w:val="00C27C45"/>
    <w:rsid w:val="00C3719D"/>
    <w:rsid w:val="00C37CB2"/>
    <w:rsid w:val="00C44337"/>
    <w:rsid w:val="00C473A5"/>
    <w:rsid w:val="00C54995"/>
    <w:rsid w:val="00C54D41"/>
    <w:rsid w:val="00C6058C"/>
    <w:rsid w:val="00C60783"/>
    <w:rsid w:val="00C60D07"/>
    <w:rsid w:val="00C63C5E"/>
    <w:rsid w:val="00C64672"/>
    <w:rsid w:val="00C66CCB"/>
    <w:rsid w:val="00C66F18"/>
    <w:rsid w:val="00C67367"/>
    <w:rsid w:val="00C6742C"/>
    <w:rsid w:val="00C70697"/>
    <w:rsid w:val="00C72093"/>
    <w:rsid w:val="00C72394"/>
    <w:rsid w:val="00C72EF4"/>
    <w:rsid w:val="00C744FE"/>
    <w:rsid w:val="00C75BA9"/>
    <w:rsid w:val="00C75D2F"/>
    <w:rsid w:val="00C767BE"/>
    <w:rsid w:val="00C76E3C"/>
    <w:rsid w:val="00C773AD"/>
    <w:rsid w:val="00C81568"/>
    <w:rsid w:val="00C87097"/>
    <w:rsid w:val="00C876CC"/>
    <w:rsid w:val="00C9027A"/>
    <w:rsid w:val="00C9068E"/>
    <w:rsid w:val="00C91070"/>
    <w:rsid w:val="00C93814"/>
    <w:rsid w:val="00C93C4B"/>
    <w:rsid w:val="00C944AB"/>
    <w:rsid w:val="00C95B40"/>
    <w:rsid w:val="00CA021B"/>
    <w:rsid w:val="00CA1ED8"/>
    <w:rsid w:val="00CA3921"/>
    <w:rsid w:val="00CA3CBE"/>
    <w:rsid w:val="00CA4634"/>
    <w:rsid w:val="00CA56FD"/>
    <w:rsid w:val="00CB168B"/>
    <w:rsid w:val="00CB1F63"/>
    <w:rsid w:val="00CB257D"/>
    <w:rsid w:val="00CB324F"/>
    <w:rsid w:val="00CB569E"/>
    <w:rsid w:val="00CB7170"/>
    <w:rsid w:val="00CC040E"/>
    <w:rsid w:val="00CC111F"/>
    <w:rsid w:val="00CC121E"/>
    <w:rsid w:val="00CC2011"/>
    <w:rsid w:val="00CC3EA0"/>
    <w:rsid w:val="00CC4103"/>
    <w:rsid w:val="00CC4375"/>
    <w:rsid w:val="00CC4FCA"/>
    <w:rsid w:val="00CC505A"/>
    <w:rsid w:val="00CC525B"/>
    <w:rsid w:val="00CC6D8A"/>
    <w:rsid w:val="00CC7B45"/>
    <w:rsid w:val="00CD1096"/>
    <w:rsid w:val="00CD10E8"/>
    <w:rsid w:val="00CD1188"/>
    <w:rsid w:val="00CD2ED1"/>
    <w:rsid w:val="00CD3321"/>
    <w:rsid w:val="00CD337B"/>
    <w:rsid w:val="00CD5DB3"/>
    <w:rsid w:val="00CD7E19"/>
    <w:rsid w:val="00CE0424"/>
    <w:rsid w:val="00CE1609"/>
    <w:rsid w:val="00CE2F84"/>
    <w:rsid w:val="00CE706A"/>
    <w:rsid w:val="00CE7561"/>
    <w:rsid w:val="00CF1354"/>
    <w:rsid w:val="00CF1EAE"/>
    <w:rsid w:val="00CF3B1F"/>
    <w:rsid w:val="00CF3BF6"/>
    <w:rsid w:val="00CF625B"/>
    <w:rsid w:val="00CF687E"/>
    <w:rsid w:val="00CF6D96"/>
    <w:rsid w:val="00D0156E"/>
    <w:rsid w:val="00D0349B"/>
    <w:rsid w:val="00D0387B"/>
    <w:rsid w:val="00D0446E"/>
    <w:rsid w:val="00D07A16"/>
    <w:rsid w:val="00D10249"/>
    <w:rsid w:val="00D115C3"/>
    <w:rsid w:val="00D11897"/>
    <w:rsid w:val="00D13135"/>
    <w:rsid w:val="00D13E4E"/>
    <w:rsid w:val="00D1415E"/>
    <w:rsid w:val="00D15934"/>
    <w:rsid w:val="00D1665F"/>
    <w:rsid w:val="00D17814"/>
    <w:rsid w:val="00D20775"/>
    <w:rsid w:val="00D2158B"/>
    <w:rsid w:val="00D22091"/>
    <w:rsid w:val="00D22D6A"/>
    <w:rsid w:val="00D239A7"/>
    <w:rsid w:val="00D23F47"/>
    <w:rsid w:val="00D25D11"/>
    <w:rsid w:val="00D267C6"/>
    <w:rsid w:val="00D36BB9"/>
    <w:rsid w:val="00D36E69"/>
    <w:rsid w:val="00D36E71"/>
    <w:rsid w:val="00D37C3E"/>
    <w:rsid w:val="00D37D87"/>
    <w:rsid w:val="00D37DDA"/>
    <w:rsid w:val="00D40B33"/>
    <w:rsid w:val="00D4318F"/>
    <w:rsid w:val="00D438BF"/>
    <w:rsid w:val="00D440F8"/>
    <w:rsid w:val="00D47709"/>
    <w:rsid w:val="00D47B4A"/>
    <w:rsid w:val="00D5014D"/>
    <w:rsid w:val="00D52070"/>
    <w:rsid w:val="00D546FF"/>
    <w:rsid w:val="00D55AD5"/>
    <w:rsid w:val="00D55F3B"/>
    <w:rsid w:val="00D5663F"/>
    <w:rsid w:val="00D56B3A"/>
    <w:rsid w:val="00D576CA"/>
    <w:rsid w:val="00D57BFF"/>
    <w:rsid w:val="00D60AB7"/>
    <w:rsid w:val="00D60E9A"/>
    <w:rsid w:val="00D61AF5"/>
    <w:rsid w:val="00D62005"/>
    <w:rsid w:val="00D652B5"/>
    <w:rsid w:val="00D66155"/>
    <w:rsid w:val="00D70340"/>
    <w:rsid w:val="00D708B0"/>
    <w:rsid w:val="00D70C61"/>
    <w:rsid w:val="00D730E9"/>
    <w:rsid w:val="00D73BE2"/>
    <w:rsid w:val="00D73DA0"/>
    <w:rsid w:val="00D747FB"/>
    <w:rsid w:val="00D77B1D"/>
    <w:rsid w:val="00D8021F"/>
    <w:rsid w:val="00D80383"/>
    <w:rsid w:val="00D81BE7"/>
    <w:rsid w:val="00D823C6"/>
    <w:rsid w:val="00D825BE"/>
    <w:rsid w:val="00D8327F"/>
    <w:rsid w:val="00D86CA3"/>
    <w:rsid w:val="00D86CB3"/>
    <w:rsid w:val="00D871CE"/>
    <w:rsid w:val="00D9196D"/>
    <w:rsid w:val="00D92440"/>
    <w:rsid w:val="00D92982"/>
    <w:rsid w:val="00D932C3"/>
    <w:rsid w:val="00D93C73"/>
    <w:rsid w:val="00D93D77"/>
    <w:rsid w:val="00D95A57"/>
    <w:rsid w:val="00D961C6"/>
    <w:rsid w:val="00DA1739"/>
    <w:rsid w:val="00DA2581"/>
    <w:rsid w:val="00DA305E"/>
    <w:rsid w:val="00DA4F10"/>
    <w:rsid w:val="00DA5417"/>
    <w:rsid w:val="00DA56E8"/>
    <w:rsid w:val="00DA608A"/>
    <w:rsid w:val="00DB0A9F"/>
    <w:rsid w:val="00DB1DB9"/>
    <w:rsid w:val="00DB377D"/>
    <w:rsid w:val="00DB4414"/>
    <w:rsid w:val="00DB7FE5"/>
    <w:rsid w:val="00DC2D36"/>
    <w:rsid w:val="00DC53EF"/>
    <w:rsid w:val="00DC5B7C"/>
    <w:rsid w:val="00DC713F"/>
    <w:rsid w:val="00DD0EE4"/>
    <w:rsid w:val="00DD1C1F"/>
    <w:rsid w:val="00DD4B30"/>
    <w:rsid w:val="00DD4FC9"/>
    <w:rsid w:val="00DD7BDD"/>
    <w:rsid w:val="00DE396B"/>
    <w:rsid w:val="00DE5608"/>
    <w:rsid w:val="00DE58D0"/>
    <w:rsid w:val="00DE654F"/>
    <w:rsid w:val="00DF0B6E"/>
    <w:rsid w:val="00DF15E0"/>
    <w:rsid w:val="00DF37A0"/>
    <w:rsid w:val="00DF4C23"/>
    <w:rsid w:val="00DF62FF"/>
    <w:rsid w:val="00DF66E1"/>
    <w:rsid w:val="00E00D6E"/>
    <w:rsid w:val="00E04629"/>
    <w:rsid w:val="00E104F7"/>
    <w:rsid w:val="00E110E7"/>
    <w:rsid w:val="00E11B10"/>
    <w:rsid w:val="00E11B20"/>
    <w:rsid w:val="00E1397C"/>
    <w:rsid w:val="00E17FA2"/>
    <w:rsid w:val="00E209B4"/>
    <w:rsid w:val="00E22330"/>
    <w:rsid w:val="00E2438C"/>
    <w:rsid w:val="00E307A6"/>
    <w:rsid w:val="00E30B5A"/>
    <w:rsid w:val="00E3123D"/>
    <w:rsid w:val="00E31461"/>
    <w:rsid w:val="00E31D43"/>
    <w:rsid w:val="00E32608"/>
    <w:rsid w:val="00E34188"/>
    <w:rsid w:val="00E34B6E"/>
    <w:rsid w:val="00E35559"/>
    <w:rsid w:val="00E3567E"/>
    <w:rsid w:val="00E36367"/>
    <w:rsid w:val="00E3723A"/>
    <w:rsid w:val="00E37860"/>
    <w:rsid w:val="00E43705"/>
    <w:rsid w:val="00E446F1"/>
    <w:rsid w:val="00E46886"/>
    <w:rsid w:val="00E47AEF"/>
    <w:rsid w:val="00E51D0C"/>
    <w:rsid w:val="00E53B75"/>
    <w:rsid w:val="00E53DDF"/>
    <w:rsid w:val="00E54E3B"/>
    <w:rsid w:val="00E5546A"/>
    <w:rsid w:val="00E57565"/>
    <w:rsid w:val="00E62474"/>
    <w:rsid w:val="00E62E8E"/>
    <w:rsid w:val="00E63838"/>
    <w:rsid w:val="00E64434"/>
    <w:rsid w:val="00E67C51"/>
    <w:rsid w:val="00E70B58"/>
    <w:rsid w:val="00E71980"/>
    <w:rsid w:val="00E72337"/>
    <w:rsid w:val="00E72EFC"/>
    <w:rsid w:val="00E746BF"/>
    <w:rsid w:val="00E758EC"/>
    <w:rsid w:val="00E80D88"/>
    <w:rsid w:val="00E8234C"/>
    <w:rsid w:val="00E83615"/>
    <w:rsid w:val="00E83AA9"/>
    <w:rsid w:val="00E85928"/>
    <w:rsid w:val="00E87822"/>
    <w:rsid w:val="00E90395"/>
    <w:rsid w:val="00E90E49"/>
    <w:rsid w:val="00E917F9"/>
    <w:rsid w:val="00E92054"/>
    <w:rsid w:val="00E9291C"/>
    <w:rsid w:val="00E93FFE"/>
    <w:rsid w:val="00E94F8A"/>
    <w:rsid w:val="00EA37F2"/>
    <w:rsid w:val="00EA3E3F"/>
    <w:rsid w:val="00EA7A41"/>
    <w:rsid w:val="00EA7ADF"/>
    <w:rsid w:val="00EB077B"/>
    <w:rsid w:val="00EB4EA2"/>
    <w:rsid w:val="00EC24D5"/>
    <w:rsid w:val="00EC27C6"/>
    <w:rsid w:val="00EC2C24"/>
    <w:rsid w:val="00EC4207"/>
    <w:rsid w:val="00EC5653"/>
    <w:rsid w:val="00EC71CE"/>
    <w:rsid w:val="00ED1006"/>
    <w:rsid w:val="00ED7B41"/>
    <w:rsid w:val="00EE0856"/>
    <w:rsid w:val="00EE20C5"/>
    <w:rsid w:val="00EE7BBB"/>
    <w:rsid w:val="00EF11F7"/>
    <w:rsid w:val="00EF18FE"/>
    <w:rsid w:val="00EF4DB9"/>
    <w:rsid w:val="00EF5787"/>
    <w:rsid w:val="00EF60D0"/>
    <w:rsid w:val="00F01DF3"/>
    <w:rsid w:val="00F0528D"/>
    <w:rsid w:val="00F059F9"/>
    <w:rsid w:val="00F069BB"/>
    <w:rsid w:val="00F06C67"/>
    <w:rsid w:val="00F06DFD"/>
    <w:rsid w:val="00F0710E"/>
    <w:rsid w:val="00F071D1"/>
    <w:rsid w:val="00F07533"/>
    <w:rsid w:val="00F07FE5"/>
    <w:rsid w:val="00F10629"/>
    <w:rsid w:val="00F12081"/>
    <w:rsid w:val="00F14B3C"/>
    <w:rsid w:val="00F15FA5"/>
    <w:rsid w:val="00F209B7"/>
    <w:rsid w:val="00F20F5C"/>
    <w:rsid w:val="00F22396"/>
    <w:rsid w:val="00F2317D"/>
    <w:rsid w:val="00F2376F"/>
    <w:rsid w:val="00F243D8"/>
    <w:rsid w:val="00F24606"/>
    <w:rsid w:val="00F2534B"/>
    <w:rsid w:val="00F26A50"/>
    <w:rsid w:val="00F30828"/>
    <w:rsid w:val="00F313D6"/>
    <w:rsid w:val="00F33237"/>
    <w:rsid w:val="00F33DA8"/>
    <w:rsid w:val="00F40F0C"/>
    <w:rsid w:val="00F41688"/>
    <w:rsid w:val="00F44741"/>
    <w:rsid w:val="00F4722A"/>
    <w:rsid w:val="00F47429"/>
    <w:rsid w:val="00F4766C"/>
    <w:rsid w:val="00F47AE9"/>
    <w:rsid w:val="00F5060E"/>
    <w:rsid w:val="00F507D1"/>
    <w:rsid w:val="00F519CE"/>
    <w:rsid w:val="00F51ADA"/>
    <w:rsid w:val="00F53B31"/>
    <w:rsid w:val="00F55FC8"/>
    <w:rsid w:val="00F60203"/>
    <w:rsid w:val="00F602DA"/>
    <w:rsid w:val="00F607C5"/>
    <w:rsid w:val="00F60DEA"/>
    <w:rsid w:val="00F6302A"/>
    <w:rsid w:val="00F63950"/>
    <w:rsid w:val="00F64C2B"/>
    <w:rsid w:val="00F651BE"/>
    <w:rsid w:val="00F66CD9"/>
    <w:rsid w:val="00F67F53"/>
    <w:rsid w:val="00F703BE"/>
    <w:rsid w:val="00F71F69"/>
    <w:rsid w:val="00F72B72"/>
    <w:rsid w:val="00F72BB1"/>
    <w:rsid w:val="00F74BB9"/>
    <w:rsid w:val="00F75582"/>
    <w:rsid w:val="00F755B5"/>
    <w:rsid w:val="00F76EFA"/>
    <w:rsid w:val="00F77815"/>
    <w:rsid w:val="00F77B0B"/>
    <w:rsid w:val="00F804BE"/>
    <w:rsid w:val="00F80D53"/>
    <w:rsid w:val="00F817CE"/>
    <w:rsid w:val="00F81D3F"/>
    <w:rsid w:val="00F81F6A"/>
    <w:rsid w:val="00F8456C"/>
    <w:rsid w:val="00F859D8"/>
    <w:rsid w:val="00F85A30"/>
    <w:rsid w:val="00F868F5"/>
    <w:rsid w:val="00F87D97"/>
    <w:rsid w:val="00F904D2"/>
    <w:rsid w:val="00F9056A"/>
    <w:rsid w:val="00F90F8D"/>
    <w:rsid w:val="00F92782"/>
    <w:rsid w:val="00F93AA9"/>
    <w:rsid w:val="00F94F8F"/>
    <w:rsid w:val="00F96985"/>
    <w:rsid w:val="00F97003"/>
    <w:rsid w:val="00F97838"/>
    <w:rsid w:val="00FA2BB3"/>
    <w:rsid w:val="00FB2FB9"/>
    <w:rsid w:val="00FB3C57"/>
    <w:rsid w:val="00FB4C80"/>
    <w:rsid w:val="00FB6461"/>
    <w:rsid w:val="00FB6A6A"/>
    <w:rsid w:val="00FC2683"/>
    <w:rsid w:val="00FC6616"/>
    <w:rsid w:val="00FC7429"/>
    <w:rsid w:val="00FD02E3"/>
    <w:rsid w:val="00FD07F6"/>
    <w:rsid w:val="00FD1EC8"/>
    <w:rsid w:val="00FD2B54"/>
    <w:rsid w:val="00FD47ED"/>
    <w:rsid w:val="00FD5E81"/>
    <w:rsid w:val="00FD6480"/>
    <w:rsid w:val="00FD74DB"/>
    <w:rsid w:val="00FD7660"/>
    <w:rsid w:val="00FE0655"/>
    <w:rsid w:val="00FE2365"/>
    <w:rsid w:val="00FE2F67"/>
    <w:rsid w:val="00FE37D7"/>
    <w:rsid w:val="00FE4C7B"/>
    <w:rsid w:val="00FE7336"/>
    <w:rsid w:val="00FE787C"/>
    <w:rsid w:val="00FF45A5"/>
    <w:rsid w:val="00FF5247"/>
    <w:rsid w:val="00FF5277"/>
    <w:rsid w:val="00FF5C91"/>
    <w:rsid w:val="00FF6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A9C"/>
    <w:pPr>
      <w:overflowPunct w:val="0"/>
      <w:autoSpaceDE w:val="0"/>
      <w:autoSpaceDN w:val="0"/>
      <w:adjustRightInd w:val="0"/>
      <w:spacing w:after="180"/>
      <w:jc w:val="both"/>
      <w:textAlignment w:val="baseline"/>
    </w:pPr>
    <w:rPr>
      <w:rFonts w:ascii="Arial" w:hAnsi="Arial"/>
      <w:lang w:val="en-US" w:eastAsia="ja-JP"/>
    </w:rPr>
  </w:style>
  <w:style w:type="paragraph" w:styleId="Titre1">
    <w:name w:val="heading 1"/>
    <w:next w:val="Normal"/>
    <w:link w:val="Titre1C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link w:val="Titre2Car"/>
    <w:qFormat/>
    <w:rsid w:val="008D00A5"/>
    <w:pPr>
      <w:pBdr>
        <w:top w:val="none" w:sz="0" w:space="0" w:color="auto"/>
      </w:pBdr>
      <w:spacing w:before="180"/>
      <w:outlineLvl w:val="1"/>
    </w:pPr>
    <w:rPr>
      <w:sz w:val="32"/>
    </w:rPr>
  </w:style>
  <w:style w:type="paragraph" w:styleId="Titre3">
    <w:name w:val="heading 3"/>
    <w:basedOn w:val="Titre2"/>
    <w:next w:val="Normal"/>
    <w:link w:val="Titre3Car"/>
    <w:qFormat/>
    <w:rsid w:val="008D00A5"/>
    <w:pPr>
      <w:spacing w:before="120"/>
      <w:outlineLvl w:val="2"/>
    </w:pPr>
    <w:rPr>
      <w:sz w:val="28"/>
    </w:r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ind w:left="0" w:firstLine="0"/>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after="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1"/>
      </w:numPr>
    </w:pPr>
  </w:style>
  <w:style w:type="paragraph" w:styleId="Listenumros">
    <w:name w:val="List Number"/>
    <w:basedOn w:val="Liste"/>
    <w:uiPriority w:val="99"/>
    <w:rsid w:val="003A70A4"/>
    <w:pPr>
      <w:numPr>
        <w:numId w:val="10"/>
      </w:numPr>
    </w:pPr>
    <w:rPr>
      <w:lang w:eastAsia="ja-JP"/>
    </w:rPr>
  </w:style>
  <w:style w:type="paragraph" w:styleId="Liste">
    <w:name w:val="List"/>
    <w:basedOn w:val="Corpsdetexte"/>
    <w:rsid w:val="008D00A5"/>
    <w:pPr>
      <w:ind w:left="568" w:hanging="284"/>
    </w:pPr>
  </w:style>
  <w:style w:type="paragraph" w:styleId="En-tte">
    <w:name w:val="header"/>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spacing w:after="0"/>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6"/>
      </w:numPr>
    </w:pPr>
  </w:style>
  <w:style w:type="paragraph" w:styleId="Listepuces">
    <w:name w:val="List Bullet"/>
    <w:basedOn w:val="Liste"/>
    <w:rsid w:val="003A70A4"/>
    <w:pPr>
      <w:numPr>
        <w:numId w:val="5"/>
      </w:numPr>
    </w:pPr>
    <w:rPr>
      <w:lang w:eastAsia="ja-JP"/>
    </w:rPr>
  </w:style>
  <w:style w:type="paragraph" w:styleId="Listepuces3">
    <w:name w:val="List Bullet 3"/>
    <w:basedOn w:val="Listepuces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8"/>
      </w:numPr>
    </w:pPr>
  </w:style>
  <w:style w:type="paragraph" w:styleId="Listepuces5">
    <w:name w:val="List Bullet 5"/>
    <w:basedOn w:val="Listepuces4"/>
    <w:rsid w:val="008D00A5"/>
    <w:pPr>
      <w:numPr>
        <w:numId w:val="9"/>
      </w:numPr>
    </w:pPr>
  </w:style>
  <w:style w:type="paragraph" w:styleId="Pieddepage">
    <w:name w:val="footer"/>
    <w:basedOn w:val="En-tte"/>
    <w:link w:val="PieddepageCar"/>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8D00A5"/>
    <w:pPr>
      <w:spacing w:after="0"/>
    </w:pPr>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rsid w:val="008D00A5"/>
    <w:pPr>
      <w:spacing w:after="120"/>
    </w:pPr>
    <w:rPr>
      <w:lang w:eastAsia="zh-CN"/>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link w:val="Titre1"/>
    <w:rsid w:val="008D00A5"/>
    <w:rPr>
      <w:rFonts w:ascii="Arial" w:hAnsi="Arial"/>
      <w:sz w:val="36"/>
      <w:lang w:eastAsia="ja-JP"/>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12"/>
      </w:numPr>
      <w:tabs>
        <w:tab w:val="left" w:pos="1701"/>
      </w:tabs>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s>
      <w:ind w:left="1701" w:hanging="1701"/>
    </w:pPr>
    <w:rPr>
      <w:lang w:eastAsia="ja-JP"/>
    </w:rPr>
  </w:style>
  <w:style w:type="paragraph" w:styleId="Tabledesillustrations">
    <w:name w:val="table of figures"/>
    <w:basedOn w:val="Corpsdetexte"/>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b/>
      <w:noProof/>
      <w:sz w:val="18"/>
      <w:lang w:eastAsia="ja-JP"/>
    </w:rPr>
  </w:style>
  <w:style w:type="character" w:customStyle="1" w:styleId="PieddepageCar">
    <w:name w:val="Pied de page Car"/>
    <w:link w:val="Pieddepage"/>
    <w:rsid w:val="008D00A5"/>
    <w:rPr>
      <w:rFonts w:ascii="Arial" w:hAnsi="Arial"/>
      <w:b/>
      <w:i/>
      <w:noProof/>
      <w:sz w:val="18"/>
      <w:lang w:eastAsia="ja-JP"/>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8D00A5"/>
    <w:rPr>
      <w:rFonts w:ascii="Arial" w:hAnsi="Arial"/>
      <w:sz w:val="32"/>
      <w:lang w:eastAsia="ja-JP"/>
    </w:rPr>
  </w:style>
  <w:style w:type="character" w:customStyle="1" w:styleId="Titre3Car">
    <w:name w:val="Titre 3 Car"/>
    <w:link w:val="Titre3"/>
    <w:rsid w:val="008D00A5"/>
    <w:rPr>
      <w:rFonts w:ascii="Arial" w:hAnsi="Arial"/>
      <w:sz w:val="28"/>
      <w:lang w:eastAsia="ja-JP"/>
    </w:rPr>
  </w:style>
  <w:style w:type="character" w:customStyle="1" w:styleId="Titre4Car">
    <w:name w:val="Titre 4 Car"/>
    <w:link w:val="Titre4"/>
    <w:qFormat/>
    <w:rsid w:val="008D00A5"/>
    <w:rPr>
      <w:rFonts w:ascii="Arial" w:hAnsi="Arial"/>
      <w:sz w:val="24"/>
      <w:lang w:eastAsia="ja-JP"/>
    </w:rPr>
  </w:style>
  <w:style w:type="character" w:customStyle="1" w:styleId="Titre5Car">
    <w:name w:val="Titre 5 Car"/>
    <w:link w:val="Titre5"/>
    <w:rsid w:val="008D00A5"/>
    <w:rPr>
      <w:rFonts w:ascii="Arial" w:hAnsi="Arial"/>
      <w:sz w:val="22"/>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Arial" w:hAnsi="Arial"/>
      <w:lang w:eastAsia="ja-JP"/>
    </w:rPr>
  </w:style>
  <w:style w:type="character" w:customStyle="1" w:styleId="Titre7Car">
    <w:name w:val="Titre 7 Car"/>
    <w:link w:val="Titre7"/>
    <w:rsid w:val="008D00A5"/>
    <w:rPr>
      <w:rFonts w:ascii="Arial" w:hAnsi="Arial"/>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ParagraphedelisteCar"/>
    <w:uiPriority w:val="34"/>
    <w:qFormat/>
    <w:rsid w:val="008D00A5"/>
    <w:pPr>
      <w:spacing w:after="0"/>
      <w:ind w:left="720"/>
    </w:pPr>
    <w:rPr>
      <w:rFonts w:ascii="Calibri" w:eastAsia="Calibri" w:hAnsi="Calibri"/>
      <w:sz w:val="22"/>
      <w:szCs w:val="22"/>
      <w:lang w:val="x-none"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列表段落 Car,1st level - Bullet List Paragraph Car,Lettre d'introduction Car"/>
    <w:link w:val="Paragraphedeliste"/>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econtinue">
    <w:name w:val="List Continue"/>
    <w:basedOn w:val="Normal"/>
    <w:rsid w:val="003A70A4"/>
    <w:pPr>
      <w:spacing w:after="120"/>
      <w:ind w:left="283"/>
      <w:contextualSpacing/>
    </w:pPr>
  </w:style>
  <w:style w:type="paragraph" w:styleId="Listecontinue2">
    <w:name w:val="List Continue 2"/>
    <w:basedOn w:val="Normal"/>
    <w:rsid w:val="003A70A4"/>
    <w:pPr>
      <w:spacing w:after="120"/>
      <w:ind w:left="566"/>
      <w:contextualSpacing/>
    </w:pPr>
  </w:style>
  <w:style w:type="paragraph" w:styleId="Listenumros3">
    <w:name w:val="List Number 3"/>
    <w:basedOn w:val="Listenumros2"/>
    <w:rsid w:val="003A70A4"/>
    <w:pPr>
      <w:numPr>
        <w:numId w:val="2"/>
      </w:numPr>
      <w:contextualSpacing/>
    </w:pPr>
  </w:style>
  <w:style w:type="character" w:customStyle="1" w:styleId="Mentionnonrsolue1">
    <w:name w:val="Mention non résolue1"/>
    <w:basedOn w:val="Policepardfau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Textedelespacerserv">
    <w:name w:val="Placeholder Text"/>
    <w:basedOn w:val="Policepardfau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TableauGrille4-Accentuation1">
    <w:name w:val="Grid Table 4 Accent 1"/>
    <w:basedOn w:val="Tableau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rsid w:val="006C5C73"/>
    <w:rPr>
      <w:rFonts w:ascii="Arial" w:hAnsi="Arial"/>
      <w:sz w:val="18"/>
      <w:lang w:val="x-none" w:eastAsia="x-none"/>
    </w:rPr>
  </w:style>
  <w:style w:type="character" w:customStyle="1" w:styleId="TALChar">
    <w:name w:val="TAL Char"/>
    <w:qFormat/>
    <w:rsid w:val="00E70B58"/>
    <w:rPr>
      <w:rFonts w:ascii="Arial" w:eastAsia="Times New Roman" w:hAnsi="Arial" w:cs="Times New Roman"/>
      <w:kern w:val="0"/>
      <w:sz w:val="18"/>
      <w:szCs w:val="20"/>
      <w:lang w:val="en-GB" w:eastAsia="en-US"/>
      <w14:ligatures w14:val="none"/>
    </w:rPr>
  </w:style>
  <w:style w:type="character" w:customStyle="1" w:styleId="TANChar">
    <w:name w:val="TAN Char"/>
    <w:link w:val="TAN"/>
    <w:qFormat/>
    <w:rsid w:val="009D7CE4"/>
    <w:rPr>
      <w:rFonts w:ascii="Arial" w:hAnsi="Arial"/>
      <w:sz w:val="18"/>
      <w:lang w:val="x-none" w:eastAsia="x-none"/>
    </w:rPr>
  </w:style>
  <w:style w:type="table" w:styleId="Grilledetableauclaire">
    <w:name w:val="Grid Table Light"/>
    <w:basedOn w:val="TableauNormal"/>
    <w:uiPriority w:val="40"/>
    <w:rsid w:val="00281A4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Grille5Fonc-Accentuation1">
    <w:name w:val="Grid Table 5 Dark Accent 1"/>
    <w:basedOn w:val="TableauNormal"/>
    <w:uiPriority w:val="50"/>
    <w:rsid w:val="00CD33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1Clair">
    <w:name w:val="Grid Table 1 Light"/>
    <w:basedOn w:val="TableauNormal"/>
    <w:uiPriority w:val="46"/>
    <w:rsid w:val="0069218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4-Accentuation3">
    <w:name w:val="Grid Table 4 Accent 3"/>
    <w:basedOn w:val="TableauNormal"/>
    <w:uiPriority w:val="49"/>
    <w:rsid w:val="000F5EBD"/>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5Fonc-Accentuation5">
    <w:name w:val="Grid Table 5 Dark Accent 5"/>
    <w:basedOn w:val="TableauNormal"/>
    <w:uiPriority w:val="50"/>
    <w:rsid w:val="000F5EB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ormalWeb">
    <w:name w:val="Normal (Web)"/>
    <w:basedOn w:val="Normal"/>
    <w:uiPriority w:val="99"/>
    <w:unhideWhenUsed/>
    <w:rsid w:val="009B080A"/>
    <w:pPr>
      <w:overflowPunct/>
      <w:autoSpaceDE/>
      <w:autoSpaceDN/>
      <w:adjustRightInd/>
      <w:spacing w:before="100" w:beforeAutospacing="1" w:after="100" w:afterAutospacing="1"/>
      <w:jc w:val="left"/>
      <w:textAlignment w:val="auto"/>
    </w:pPr>
    <w:rPr>
      <w:rFonts w:ascii="Times New Roman"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114570625">
      <w:bodyDiv w:val="1"/>
      <w:marLeft w:val="0"/>
      <w:marRight w:val="0"/>
      <w:marTop w:val="0"/>
      <w:marBottom w:val="0"/>
      <w:divBdr>
        <w:top w:val="none" w:sz="0" w:space="0" w:color="auto"/>
        <w:left w:val="none" w:sz="0" w:space="0" w:color="auto"/>
        <w:bottom w:val="none" w:sz="0" w:space="0" w:color="auto"/>
        <w:right w:val="none" w:sz="0" w:space="0" w:color="auto"/>
      </w:divBdr>
    </w:div>
    <w:div w:id="141117701">
      <w:bodyDiv w:val="1"/>
      <w:marLeft w:val="0"/>
      <w:marRight w:val="0"/>
      <w:marTop w:val="0"/>
      <w:marBottom w:val="0"/>
      <w:divBdr>
        <w:top w:val="none" w:sz="0" w:space="0" w:color="auto"/>
        <w:left w:val="none" w:sz="0" w:space="0" w:color="auto"/>
        <w:bottom w:val="none" w:sz="0" w:space="0" w:color="auto"/>
        <w:right w:val="none" w:sz="0" w:space="0" w:color="auto"/>
      </w:divBdr>
    </w:div>
    <w:div w:id="228417773">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338309926">
      <w:bodyDiv w:val="1"/>
      <w:marLeft w:val="0"/>
      <w:marRight w:val="0"/>
      <w:marTop w:val="0"/>
      <w:marBottom w:val="0"/>
      <w:divBdr>
        <w:top w:val="none" w:sz="0" w:space="0" w:color="auto"/>
        <w:left w:val="none" w:sz="0" w:space="0" w:color="auto"/>
        <w:bottom w:val="none" w:sz="0" w:space="0" w:color="auto"/>
        <w:right w:val="none" w:sz="0" w:space="0" w:color="auto"/>
      </w:divBdr>
    </w:div>
    <w:div w:id="718674448">
      <w:bodyDiv w:val="1"/>
      <w:marLeft w:val="0"/>
      <w:marRight w:val="0"/>
      <w:marTop w:val="0"/>
      <w:marBottom w:val="0"/>
      <w:divBdr>
        <w:top w:val="none" w:sz="0" w:space="0" w:color="auto"/>
        <w:left w:val="none" w:sz="0" w:space="0" w:color="auto"/>
        <w:bottom w:val="none" w:sz="0" w:space="0" w:color="auto"/>
        <w:right w:val="none" w:sz="0" w:space="0" w:color="auto"/>
      </w:divBdr>
    </w:div>
    <w:div w:id="746225587">
      <w:bodyDiv w:val="1"/>
      <w:marLeft w:val="0"/>
      <w:marRight w:val="0"/>
      <w:marTop w:val="0"/>
      <w:marBottom w:val="0"/>
      <w:divBdr>
        <w:top w:val="none" w:sz="0" w:space="0" w:color="auto"/>
        <w:left w:val="none" w:sz="0" w:space="0" w:color="auto"/>
        <w:bottom w:val="none" w:sz="0" w:space="0" w:color="auto"/>
        <w:right w:val="none" w:sz="0" w:space="0" w:color="auto"/>
      </w:divBdr>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895508819">
      <w:bodyDiv w:val="1"/>
      <w:marLeft w:val="0"/>
      <w:marRight w:val="0"/>
      <w:marTop w:val="0"/>
      <w:marBottom w:val="0"/>
      <w:divBdr>
        <w:top w:val="none" w:sz="0" w:space="0" w:color="auto"/>
        <w:left w:val="none" w:sz="0" w:space="0" w:color="auto"/>
        <w:bottom w:val="none" w:sz="0" w:space="0" w:color="auto"/>
        <w:right w:val="none" w:sz="0" w:space="0" w:color="auto"/>
      </w:divBdr>
      <w:divsChild>
        <w:div w:id="1394935713">
          <w:marLeft w:val="374"/>
          <w:marRight w:val="0"/>
          <w:marTop w:val="133"/>
          <w:marBottom w:val="80"/>
          <w:divBdr>
            <w:top w:val="none" w:sz="0" w:space="0" w:color="auto"/>
            <w:left w:val="none" w:sz="0" w:space="0" w:color="auto"/>
            <w:bottom w:val="none" w:sz="0" w:space="0" w:color="auto"/>
            <w:right w:val="none" w:sz="0" w:space="0" w:color="auto"/>
          </w:divBdr>
        </w:div>
      </w:divsChild>
    </w:div>
    <w:div w:id="921257447">
      <w:bodyDiv w:val="1"/>
      <w:marLeft w:val="0"/>
      <w:marRight w:val="0"/>
      <w:marTop w:val="0"/>
      <w:marBottom w:val="0"/>
      <w:divBdr>
        <w:top w:val="none" w:sz="0" w:space="0" w:color="auto"/>
        <w:left w:val="none" w:sz="0" w:space="0" w:color="auto"/>
        <w:bottom w:val="none" w:sz="0" w:space="0" w:color="auto"/>
        <w:right w:val="none" w:sz="0" w:space="0" w:color="auto"/>
      </w:divBdr>
    </w:div>
    <w:div w:id="1325934494">
      <w:bodyDiv w:val="1"/>
      <w:marLeft w:val="0"/>
      <w:marRight w:val="0"/>
      <w:marTop w:val="0"/>
      <w:marBottom w:val="0"/>
      <w:divBdr>
        <w:top w:val="none" w:sz="0" w:space="0" w:color="auto"/>
        <w:left w:val="none" w:sz="0" w:space="0" w:color="auto"/>
        <w:bottom w:val="none" w:sz="0" w:space="0" w:color="auto"/>
        <w:right w:val="none" w:sz="0" w:space="0" w:color="auto"/>
      </w:divBdr>
      <w:divsChild>
        <w:div w:id="326979593">
          <w:marLeft w:val="374"/>
          <w:marRight w:val="0"/>
          <w:marTop w:val="200"/>
          <w:marBottom w:val="80"/>
          <w:divBdr>
            <w:top w:val="none" w:sz="0" w:space="0" w:color="auto"/>
            <w:left w:val="none" w:sz="0" w:space="0" w:color="auto"/>
            <w:bottom w:val="none" w:sz="0" w:space="0" w:color="auto"/>
            <w:right w:val="none" w:sz="0" w:space="0" w:color="auto"/>
          </w:divBdr>
        </w:div>
        <w:div w:id="1783962900">
          <w:marLeft w:val="374"/>
          <w:marRight w:val="0"/>
          <w:marTop w:val="133"/>
          <w:marBottom w:val="80"/>
          <w:divBdr>
            <w:top w:val="none" w:sz="0" w:space="0" w:color="auto"/>
            <w:left w:val="none" w:sz="0" w:space="0" w:color="auto"/>
            <w:bottom w:val="none" w:sz="0" w:space="0" w:color="auto"/>
            <w:right w:val="none" w:sz="0" w:space="0" w:color="auto"/>
          </w:divBdr>
        </w:div>
        <w:div w:id="388265721">
          <w:marLeft w:val="648"/>
          <w:marRight w:val="0"/>
          <w:marTop w:val="0"/>
          <w:marBottom w:val="80"/>
          <w:divBdr>
            <w:top w:val="none" w:sz="0" w:space="0" w:color="auto"/>
            <w:left w:val="none" w:sz="0" w:space="0" w:color="auto"/>
            <w:bottom w:val="none" w:sz="0" w:space="0" w:color="auto"/>
            <w:right w:val="none" w:sz="0" w:space="0" w:color="auto"/>
          </w:divBdr>
        </w:div>
        <w:div w:id="1512598003">
          <w:marLeft w:val="374"/>
          <w:marRight w:val="0"/>
          <w:marTop w:val="133"/>
          <w:marBottom w:val="80"/>
          <w:divBdr>
            <w:top w:val="none" w:sz="0" w:space="0" w:color="auto"/>
            <w:left w:val="none" w:sz="0" w:space="0" w:color="auto"/>
            <w:bottom w:val="none" w:sz="0" w:space="0" w:color="auto"/>
            <w:right w:val="none" w:sz="0" w:space="0" w:color="auto"/>
          </w:divBdr>
        </w:div>
        <w:div w:id="1996488859">
          <w:marLeft w:val="648"/>
          <w:marRight w:val="0"/>
          <w:marTop w:val="0"/>
          <w:marBottom w:val="80"/>
          <w:divBdr>
            <w:top w:val="none" w:sz="0" w:space="0" w:color="auto"/>
            <w:left w:val="none" w:sz="0" w:space="0" w:color="auto"/>
            <w:bottom w:val="none" w:sz="0" w:space="0" w:color="auto"/>
            <w:right w:val="none" w:sz="0" w:space="0" w:color="auto"/>
          </w:divBdr>
        </w:div>
        <w:div w:id="230821030">
          <w:marLeft w:val="374"/>
          <w:marRight w:val="0"/>
          <w:marTop w:val="133"/>
          <w:marBottom w:val="80"/>
          <w:divBdr>
            <w:top w:val="none" w:sz="0" w:space="0" w:color="auto"/>
            <w:left w:val="none" w:sz="0" w:space="0" w:color="auto"/>
            <w:bottom w:val="none" w:sz="0" w:space="0" w:color="auto"/>
            <w:right w:val="none" w:sz="0" w:space="0" w:color="auto"/>
          </w:divBdr>
        </w:div>
        <w:div w:id="938180191">
          <w:marLeft w:val="648"/>
          <w:marRight w:val="0"/>
          <w:marTop w:val="0"/>
          <w:marBottom w:val="80"/>
          <w:divBdr>
            <w:top w:val="none" w:sz="0" w:space="0" w:color="auto"/>
            <w:left w:val="none" w:sz="0" w:space="0" w:color="auto"/>
            <w:bottom w:val="none" w:sz="0" w:space="0" w:color="auto"/>
            <w:right w:val="none" w:sz="0" w:space="0" w:color="auto"/>
          </w:divBdr>
        </w:div>
        <w:div w:id="941450758">
          <w:marLeft w:val="374"/>
          <w:marRight w:val="0"/>
          <w:marTop w:val="133"/>
          <w:marBottom w:val="80"/>
          <w:divBdr>
            <w:top w:val="none" w:sz="0" w:space="0" w:color="auto"/>
            <w:left w:val="none" w:sz="0" w:space="0" w:color="auto"/>
            <w:bottom w:val="none" w:sz="0" w:space="0" w:color="auto"/>
            <w:right w:val="none" w:sz="0" w:space="0" w:color="auto"/>
          </w:divBdr>
        </w:div>
        <w:div w:id="316616539">
          <w:marLeft w:val="648"/>
          <w:marRight w:val="0"/>
          <w:marTop w:val="0"/>
          <w:marBottom w:val="80"/>
          <w:divBdr>
            <w:top w:val="none" w:sz="0" w:space="0" w:color="auto"/>
            <w:left w:val="none" w:sz="0" w:space="0" w:color="auto"/>
            <w:bottom w:val="none" w:sz="0" w:space="0" w:color="auto"/>
            <w:right w:val="none" w:sz="0" w:space="0" w:color="auto"/>
          </w:divBdr>
        </w:div>
      </w:divsChild>
    </w:div>
    <w:div w:id="1424648882">
      <w:bodyDiv w:val="1"/>
      <w:marLeft w:val="0"/>
      <w:marRight w:val="0"/>
      <w:marTop w:val="0"/>
      <w:marBottom w:val="0"/>
      <w:divBdr>
        <w:top w:val="none" w:sz="0" w:space="0" w:color="auto"/>
        <w:left w:val="none" w:sz="0" w:space="0" w:color="auto"/>
        <w:bottom w:val="none" w:sz="0" w:space="0" w:color="auto"/>
        <w:right w:val="none" w:sz="0" w:space="0" w:color="auto"/>
      </w:divBdr>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 w:id="165112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039FBDD9-DE27-4BBD-B817-46892CDE2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8</TotalTime>
  <Pages>1</Pages>
  <Words>3006</Words>
  <Characters>16539</Characters>
  <Application>Microsoft Office Word</Application>
  <DocSecurity>0</DocSecurity>
  <Lines>137</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19506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mohamed.chaoual@thalesaleniaspace.com</dc:creator>
  <cp:keywords>3GPP;Thales</cp:keywords>
  <dc:description/>
  <cp:lastModifiedBy>THALES(Yassir)</cp:lastModifiedBy>
  <cp:revision>10</cp:revision>
  <cp:lastPrinted>2024-11-05T23:18:00Z</cp:lastPrinted>
  <dcterms:created xsi:type="dcterms:W3CDTF">2026-01-29T12:40:00Z</dcterms:created>
  <dcterms:modified xsi:type="dcterms:W3CDTF">2026-01-29T18:47:00Z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TitusGUID">
    <vt:lpwstr>23e563d0-b7cd-49f3-9a02-54184a70481f</vt:lpwstr>
  </property>
  <property fmtid="{D5CDD505-2E9C-101B-9397-08002B2CF9AE}" pid="6" name="TaggedBy">
    <vt:lpwstr>poxa100</vt:lpwstr>
  </property>
  <property fmtid="{D5CDD505-2E9C-101B-9397-08002B2CF9AE}" pid="7" name="L">
    <vt:lpwstr>XXPUB</vt:lpwstr>
  </property>
  <property fmtid="{D5CDD505-2E9C-101B-9397-08002B2CF9AE}" pid="8" name="STAMP">
    <vt:lpwstr>NO</vt:lpwstr>
  </property>
</Properties>
</file>